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VaV (Brandenburg) — Grundsatz</w:t>
      </w:r>
    </w:p>
    <w:p>
      <w:r>
        <w:rPr>
          <w:color w:val="555555"/>
          <w:sz w:val="18"/>
        </w:rPr>
        <w:t xml:space="preserve">Verdienstausfallverordnung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Ehrenamtlichen Feuerwehrangehörigen, die beruflich selbstständig oder</w:t>
      </w:r>
    </w:p>
    <w:p>
      <w:r>
        <w:t xml:space="preserve">freiberuflich tätig sind, wird auf Antrag der entstandene Verdienstausfall für</w:t>
      </w:r>
    </w:p>
    <w:p>
      <w:r>
        <w:t xml:space="preserve">die Teilnahme an Einsätzen, Übungen, Lehrgängen und sonstigen</w:t>
      </w:r>
    </w:p>
    <w:p>
      <w:r>
        <w:t xml:space="preserve">Ausbildungsveranstaltungen erstattet. Dies gilt auch während einer</w:t>
      </w:r>
    </w:p>
    <w:p>
      <w:r>
        <w:t xml:space="preserve">Arbeitsunfähigkeit, die auf den Dienst in der Feuerwehr zurückzuführen ist, für</w:t>
      </w:r>
    </w:p>
    <w:p>
      <w:r>
        <w:t xml:space="preserve">die Dauer von bis zu sechs Wochen.</w:t>
      </w:r>
    </w:p>
    <w:p>
      <w:r>
        <w:t xml:space="preserve">(2) Für ehrenamtliche Helferinnen und Helfer in Einheiten und Einrichtungen</w:t>
      </w:r>
    </w:p>
    <w:p>
      <w:r>
        <w:t xml:space="preserve">des Katastrophenschutzes gilt diese Verordnung aufgrund von § 19 Absatz 1 Satz 2</w:t>
      </w:r>
    </w:p>
    <w:p>
      <w:r>
        <w:t xml:space="preserve">des Brandenburgischen Brand- und Katastrophenschutzgesetzes entsprechend.</w:t>
      </w:r>
    </w:p>
    <w:p>
      <w:r>
        <w:rPr>
          <w:color w:val="555555"/>
          <w:sz w:val="17"/>
        </w:rPr>
        <w:t xml:space="preserve">Zitiervorschlag: § 1 VaV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