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VZOZÜV</w:t>
      </w:r>
    </w:p>
    <w:p>
      <w:r>
        <w:rPr>
          <w:color w:val="555555"/>
          <w:sz w:val="18"/>
        </w:rPr>
        <w:t xml:space="preserve">Vermögenszuordnungszuständigkeitsübertragungsverordnung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7 Abs. 6 des Vermögenszuordnungsgesetzes, der durch Artikel 1 Nr. 1 Buchstabe b des Gesetzes vom 30. Januar 2002 (BGBl. I S. 562) geändert worden ist, verordnet das Bundesministerium der Finanzen:</w:t>
      </w:r>
    </w:p>
    <w:p>
      <w:r>
        <w:rPr>
          <w:color w:val="555555"/>
          <w:sz w:val="17"/>
        </w:rPr>
        <w:t xml:space="preserve">Zitiervorschlag: Eingangsformel VZOZÜV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https://recht.nulegal.eu/gesetze/VZOZ%C3%9CV/eingangsformel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