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VZOZÜV — Inkrafttreten</w:t>
      </w:r>
    </w:p>
    <w:p>
      <w:r>
        <w:rPr>
          <w:color w:val="555555"/>
          <w:sz w:val="18"/>
        </w:rPr>
        <w:t xml:space="preserve">Vermögenszuordnungszuständigkeitsübertragungsverordnung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Tage nach der Verkündung in Kraft.</w:t>
      </w:r>
    </w:p>
    <w:p>
      <w:r>
        <w:rPr>
          <w:color w:val="555555"/>
          <w:sz w:val="17"/>
        </w:rPr>
        <w:t xml:space="preserve">Zitiervorschlag: § 2 VZOZÜV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https://recht.nulegal.eu/gesetze/VZOZ%C3%9CV/2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