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VZOG — Verfügungsbefugnis</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Zur Verfügung über Grundstücke und Gebäude, die im Grundbuch oder Bestandsblatt noch als Eigentum des Volkes eingetragen sind, sind unabhängig von der Richtigkeit dieser Eintragung befugt:</w:t>
      </w:r>
    </w:p>
    <w:p>
      <w:pPr>
        <w:ind w:left="420"/>
      </w:pPr>
      <w:r>
        <w:t xml:space="preserve">a) die Gemeinden, Städte und Landkreise, wenn sie selbst oder ihre Organe oder die ehemaligen volkseigenen Betriebe der Wohnungswirtschaft im Zeitpunkt der Verfügung als Rechtsträger des betroffenen Grundstücks oder Gebäudes eingetragen sind oder wenn ein dingliches Nutzungsrecht ohne Eintragung oder bei Löschung eines Rechtsträgers eingetragen worden ist,</w:t>
      </w:r>
    </w:p>
    <w:p>
      <w:pPr>
        <w:ind w:left="420"/>
      </w:pPr>
      <w:r>
        <w:t xml:space="preserve">b) die Länder, wenn die Bezirke, aus denen sie nach dem Ländereinführungsgesetz vom 22. Juli 1990 (GBl. I Nr. 51 S. 955), das nach Anlage II Kapitel II Sachgebiet A Abschnitt II des Einigungsvertrages vom 31. August 1990 in Verbindung mit Artikel 1 des Gesetzes vom 23. September 1990 (BGBl. 1990 II S. 885, 1150) fortgilt, gebildet worden sind, oder deren Organe als Rechtsträger des betroffenen Grundstücks eingetragen sind,</w:t>
      </w:r>
    </w:p>
    <w:p>
      <w:pPr>
        <w:ind w:left="420"/>
      </w:pPr>
      <w:r>
        <w:t xml:space="preserve">c) die Treuhandanstalt, wenn als Rechtsträger eine landwirtschaftliche Produktionsgenossenschaft, ein ehemals volkseigenes Gut, ein ehemaliger staatlicher Forstwirtschaftsbetrieb oder ein ehemaliges Forsteinrichtungsamt, ein ehemals volkseigenes Gestüt, eine ehemalige Pferdezuchtdirektion oder ein ehemals volkseigener Rennbetrieb, ein Betrieb des ehemaligen Kombinats Industrielle Tierproduktion, das Ministerium für Staatssicherheit oder das Amt für Nationale Sicherheit eingetragen ist,</w:t>
      </w:r>
    </w:p>
    <w:p>
      <w:pPr>
        <w:ind w:left="420"/>
      </w:pPr>
      <w:r>
        <w:t xml:space="preserve">d) der Bund in allen übrigen Fällen.</w:t>
      </w:r>
    </w:p>
    <w:p>
      <w:r>
        <w:t xml:space="preserve">Der Bund wird durch die Bundesanstalt für Immobilienaufgaben vertreten. Das Bundesministerium der Finanzen kann durch Bescheid für einzelne Grundstücke oder durch Allgemeinverfügung für eine Vielzahl von Grundstücken eine andere Behörde des Bundes oder die Treuhandanstalt als Vertreter des Bundes bestimmen. Der Bund überträgt nach Maßgabe der Artikel 21 und 22 des Einigungsvertrages seine Verfügungsbefugnis auf das Land oder die Kommune, in dessen oder deren Gebiet das Grundstück ganz oder überwiegend belegen ist.</w:t>
      </w:r>
    </w:p>
    <w:p>
      <w:r>
        <w:t xml:space="preserve">(1a) Verfügungen nach Absatz 1 unterliegen nicht den Vorschriften in bezug auf Verfügungen über eigenes Vermögen der verfügungsbefugten Stelle. Im Rahmen der Verfügungsbefugnis dürfen Verpflichtungen vorbehaltlich der Bestimmungen des Bürgerlichen Gesetzbuchs über die Vertretung nur im eigenen Namen eingegangen werden. Wird im Rahmen der Verfügungsbefugnis Besitz an einem Grundstück oder Gebäude vertraglich überlassen, so gilt § 566 des Bürgerlichen Gesetzbuchs entsprechend.</w:t>
      </w:r>
    </w:p>
    <w:p>
      <w:r>
        <w:t xml:space="preserve">(2) Die Verfügungsbefugnis des Eigentümers oder treuhänderischen Verwalters des betroffenen Grundstücks oder Gebäudes sowie die Rechte Dritter bleiben unberührt. Auf Grund der Verfügungsermächtigung nach Absatz 1 vorgenommene Rechtsgeschäfte gelten als Verfügungen eines Berechtigten.</w:t>
      </w:r>
    </w:p>
    <w:p>
      <w:r>
        <w:t xml:space="preserve">(3) Die Verfügungsbefugnis nach Absatz 1 endet, wenn</w:t>
      </w:r>
    </w:p>
    <w:p>
      <w:pPr>
        <w:ind w:left="420"/>
      </w:pPr>
      <w:r>
        <w:t xml:space="preserve">a) in Ansehung des Grundstücks oder Gebäudes ein Bescheid nach § 2, 4 oder 7 unanfechtbar geworden und</w:t>
      </w:r>
    </w:p>
    <w:p>
      <w:pPr>
        <w:ind w:left="420"/>
      </w:pPr>
      <w:r>
        <w:t xml:space="preserve">b) eine öffentliche oder öffentlich beglaubigte Urkunde hierüber dem Grundbuchamt vorgelegt worden ist; der Bescheid oder die Urkunde ist unbeschadet einer noch vorzunehmenden Vermessung zu den Grundakten zu nehmen.</w:t>
      </w:r>
    </w:p>
    <w:p>
      <w:r>
        <w:t xml:space="preserve">§ 878 des Bürgerlichen Gesetzbuchs ist entsprechend anzuwenden. Der Verfügungsbefugte gilt in den Fällen des Satzes 1 weiterhin als befugt, eine Verfügung vorzunehmen, zu deren Vornahme er sich wirksam verpflichtet hat, wenn vor dem in Satz 1 genannten Zeitpunkt die Eintragung einer Vormerkung zur Sicherung dieses Anspruchs bei dem Grundbuchamt beantragt worden ist.</w:t>
      </w:r>
    </w:p>
    <w:p>
      <w:r>
        <w:t xml:space="preserve">(4) Die auf Grund von Verfügungen nach Absatz 1 Satz 1 veräußerten Grundstücke oder Gebäude sowie das Entgelt sind dem Innenministerium des betreffenden Landes mitzuteilen und von diesem in einer Liste zu erfassen. Die nach Absatz 1 verfügende Stelle ist verpflichtet, zeitgleich zu der Verfügung einen Zuordnungsantrag nach § 1 Abs. 6 zu stellen und den Erlös, mindestens aber den Wert des Vermögensgegenstandes dem aus einem unanfechtbaren Bescheid über die Zuordnung nach den §§ 1 und 2 hervorgehenden Berechtigten auszukehren.</w:t>
      </w:r>
    </w:p>
    <w:p>
      <w:r>
        <w:t xml:space="preserve">(5) Die verfügende Stelle kann im Falle des Absatzes 4 Satz 2 anstelle der Auskehrung des Erlöses oder des Wertes das Eigentum an dem Grundstück, Grundstücksteil oder Gebäude oder an einem Ersatzgrundstück verschaffen. Beabsichtigt die verfügende Stelle nach Satz 1 vorzugehen, wird auf Antrag der verfügenden Stelle das Eigentum durch Zuordnungsbescheid (§ 2) der zuständigen Behörde (§ 1) auf den Berechtigten (Absatz 4 Satz 2) übertragen. Sätze 1 und 2 finden keine Anwendung auf den in § 1 Abs. 6 des Wohnungsgenossenschafts-Vermögensgesetzes bezeichneten Grund und Boden; insoweit gilt das in jener Vorschrift vorgesehene Verfahren.</w:t>
      </w:r>
    </w:p>
    <w:p>
      <w:r>
        <w:rPr>
          <w:color w:val="555555"/>
          <w:sz w:val="17"/>
        </w:rPr>
        <w:t xml:space="preserve">Zitiervorschlag: § 8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