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VZOG — Rechtsweg</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Für Streitigkeiten nach diesem Gesetz ist der Verwaltungsrechtsweg gegeben. Die Berufung gegen ein Urteil und die Beschwerde gegen eine andere Entscheidung des Verwaltungsgerichts sind ausgeschlossen. Das gilt nicht für die Beschwerde gegen die Nichtzulassung der Revision nach § 135 in Verbindung mit § 133 der Verwaltungsgerichtsordnung und die Beschwerde gegen Beschlüsse über den Rechtsweg nach § 17a Abs. 2 und 3 des Gerichtsverfassungsgesetzes. Auf die Beschwerde gegen die Beschlüsse über den Rechtsweg findet § 17a Abs. 4 Satz 4 bis 6 des Gerichtsverfassungsgesetzes entsprechende Anwendung.</w:t>
      </w:r>
    </w:p>
    <w:p>
      <w:r>
        <w:t xml:space="preserve">(2) Örtlich zuständig bei Entscheidungen der Behörden des Bundes, auf die die Zuständigkeit nach § 1 Abs. 1 Nr. 1 gemäß § 7 Abs. 6 übertragen worden ist, ist das Verwaltungsgericht Berlin.</w:t>
      </w:r>
    </w:p>
    <w:p>
      <w:r>
        <w:t xml:space="preserve">(3) Gerichtskosten werden in Verfahren nach diesem Gesetz nicht erhoben. Der Gegenstandswert beträgt unabhängig von der Zahl und dem Wert der jeweils betroffenen Vermögensgegenstände 5.000 Euro.</w:t>
      </w:r>
    </w:p>
    <w:p>
      <w:r>
        <w:rPr>
          <w:color w:val="555555"/>
          <w:sz w:val="17"/>
        </w:rPr>
        <w:t xml:space="preserve">Zitiervorschlag: § 6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