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VZOG — Schiffe, Schiffsbauwerke und Straßen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Die Bestimmungen des § 3 Abs. 1 Satz 1, Abs. 2 bis 4 und des § 4 gelten entsprechend für im Schiffsregister eingetragene Schiffe und im Schiffsbauregister eingetragene Schiffsbauwerke.</w:t>
      </w:r>
    </w:p>
    <w:p>
      <w:r>
        <w:t xml:space="preserve">(2) Die in Anlage I Kapitel XI Sachgebiet F Abschnitt III Nr. 1 Buchstabe b des Einigungsvertrages vom 31. August 1990 (BGBl. II S. 889, 1111) zum Bundesfernstraßengesetz vorgesehene Maßgabe bleibt unberührt. Wenn Eigentum an anderen öffentlichen Straßen auf öffentliche Körperschaften übergegangen ist, wird der Übergang des Eigentums entsprechend der Maßgabe b zum Bundesfernstraßengesetz festgestellt; dies gilt nicht, soweit der Präsident der Treuhandanstalt nach § 1 Abs. 1 Satz 1 Nr. 1 zuständig ist. Zuständig für die Stellung des Antrags auf Berichtigung des Grundbuchs ist in den Fällen des Satzes 2 der jeweilige Träger der Straßenbaulast.</w:t>
      </w:r>
    </w:p>
    <w:p>
      <w:r>
        <w:rPr>
          <w:color w:val="555555"/>
          <w:sz w:val="17"/>
        </w:rPr>
        <w:t xml:space="preserve">Zitiervorschlag: § 5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