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VZOG — Grundvermögen von Kapitalgesellschaften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Der Präsident der Treuhandanstalt oder eine von ihm zu ermächtigende Person kann durch Bescheid feststellen, welcher Kapitalgesellschaft, deren sämtliche Anteile sich unmittelbar oder mittelbar in der Hand der Treuhandanstalt befinden oder befunden haben, ein Grundstück oder Gebäude nach § 11 Abs. 2, § 23 des Treuhandgesetzes oder nach § 2 der Fünften Durchführungsverordnung zum Treuhandgesetz vom 12. September 1990 (GBl. I Nr. 60 S. 1466), die nach Anlage II Kapitel IV Abschnitt I Nr. 11 des Einigungsvertrages vom 31. August 1990 und der Vereinbarung vom 18. September 1990 in Verbindung mit Artikel 1 des Gesetzes vom 23. September 1990 (BGBl. 1990 II S. 885, 1241) fortgilt, in welchem Umfang übertragen ist. In den Fällen des § 2 der Fünften Durchführungsverordnung zum Treuhandgesetz muß der Bescheid die in deren § 4 Abs. 1 Satz 2 aufgeführten Angaben enthalten.</w:t>
      </w:r>
    </w:p>
    <w:p>
      <w:r>
        <w:t xml:space="preserve">(2) Wenn der Bescheid unanfechtbar geworden ist, ersucht der Präsident der Treuhandanstalt die grundbuchführende Stelle nach Maßgabe von § 38 der Grundbuchordnung um Eintragung.</w:t>
      </w:r>
    </w:p>
    <w:p>
      <w:r>
        <w:t xml:space="preserve">(3) § 1 Abs. 6, § 2 Abs. 1 und 2 bis 6, § 3 Abs. 1 Satz 2 und Abs. 2 bis 4 gelten sinngemäß.</w:t>
      </w:r>
    </w:p>
    <w:p>
      <w:r>
        <w:rPr>
          <w:color w:val="555555"/>
          <w:sz w:val="17"/>
        </w:rPr>
        <w:t xml:space="preserve">Zitiervorschlag: § 4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