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VZOG — Verhältnis zu anderen Vorschriften</w:t>
      </w:r>
    </w:p>
    <w:p>
      <w:r>
        <w:rPr>
          <w:color w:val="555555"/>
          <w:sz w:val="18"/>
        </w:rPr>
        <w:t xml:space="preserve">Vermögenszuordnungsgesetz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11 Abs. 2 Satz 2 des Treuhandgesetzes und die Bestimmungen der Fünften Durchführungsverordnung zum Treuhandgesetz bleiben unberührt.</w:t>
      </w:r>
    </w:p>
    <w:p>
      <w:r>
        <w:t xml:space="preserve">(2) Artikel 21 Abs. 3 und Artikel 22 Abs. 1 Satz 7 in Verbindung mit Artikel 21 Abs. 3 des Einigungsvertrages und die Vorschriften des Abschnitts 3 gelten für das in den Artikeln 26, 27 und 36 des Einigungsvertrages genannte Vermögen entsprechend.</w:t>
      </w:r>
    </w:p>
    <w:p>
      <w:r>
        <w:rPr>
          <w:color w:val="555555"/>
          <w:sz w:val="17"/>
        </w:rPr>
        <w:t xml:space="preserve">Zitiervorschlag: § 21 VZOG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https://recht.nulegal.eu/gesetze/VZOG/21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