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VZOG — Vorschriften für den Rundfunk und das Fernsehen der früheren DDR</w:t>
      </w:r>
    </w:p>
    <w:p>
      <w:r>
        <w:rPr>
          <w:color w:val="555555"/>
          <w:sz w:val="18"/>
        </w:rPr>
        <w:t xml:space="preserve">Vermögenszuordnungsgesetz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Vermögensgegenstände und -werte, die nach Artikel 36 Abs. 1 des Einigungsvertrages nicht dem Sondervermögen Deutsche Bundespost zugeordnet sind, stehen den Ländern des in Artikel 3 des Einigungsvertrages genannten Gebietes zur gesamten Hand zu. Artikel 36 Abs. 6 des Einigungsvertrages bleibt im übrigen unberührt. Die Länder können beantragen, daß Vermögensgegenstände und -werte nach dem Ergebnis einer Einigung der beteiligten Stellen durch Zuordnungsbescheid unmittelbar oder nach erfolgter Zuordnung an die Länder einer einzelnen Anstalt oder einem der in Satz 1 genannten Länder zugeordnet werden. Für den Fall einer einvernehmlichen Zuordnung an eine einzelne Landesrundfunkanstalt ist deren vorherige Zustimmung erforderlich.</w:t>
      </w:r>
    </w:p>
    <w:p>
      <w:r>
        <w:rPr>
          <w:color w:val="555555"/>
          <w:sz w:val="17"/>
        </w:rPr>
        <w:t xml:space="preserve">Zitiervorschlag: § 20 VZOG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https://recht.nulegal.eu/gesetze/VZOG/20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