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1c VZOG — Rückabwicklung zuordnungswidriger Veräußerungen</w:t>
      </w:r>
    </w:p>
    <w:p>
      <w:r>
        <w:rPr>
          <w:color w:val="555555"/>
          <w:sz w:val="18"/>
        </w:rPr>
        <w:t xml:space="preserve">Vermögenszuordnungsgesetz</w:t>
      </w:r>
    </w:p>
    <w:p>
      <w:r>
        <w:rPr>
          <w:color w:val="555555"/>
          <w:sz w:val="18"/>
        </w:rPr>
        <w:t xml:space="preserve">Stand: 10.06.2019 (konsolidierte Textfassung, kein amtliches Inkrafttretensdatum)</w:t>
      </w:r>
    </w:p>
    <w:p>
      <w:r>
        <w:t xml:space="preserve">(1) Sind bei der Privatisierung von Treuhandunternehmen im Wege des Anteilsverkaufs mit dem Unternehmen Vermögenswerte auf den Erwerber übergegangen, die im Zeitpunkt der Anteilsveräußerung</w:t>
      </w:r>
    </w:p>
    <w:p>
      <w:pPr>
        <w:ind w:left="420"/>
      </w:pPr>
      <w:r>
        <w:t xml:space="preserve">1. der Kommunalisierung nach § 10 dieses Gesetzes oder der Vorschriften des Kommunalvermögensgesetzes oder</w:t>
      </w:r>
    </w:p>
    <w:p>
      <w:pPr>
        <w:ind w:left="420"/>
      </w:pPr>
      <w:r>
        <w:t xml:space="preserve">2. der Restitution nach § 11 Abs. 1 Satz 1 dieses Gesetzes unterlagen oder</w:t>
      </w:r>
    </w:p>
    <w:p>
      <w:pPr>
        <w:ind w:left="420"/>
      </w:pPr>
      <w:r>
        <w:t xml:space="preserve">3. nach der Protokollnotiz zu Artikel 22 Abs. 4 des Einigungsvertrages einer Wohnungsgenossenschaft zu übertragen gewesen wären oder nach den Bestimmungen des Wohnungsgenossenschafts-Vermögensgesetzes auf diese übergehen würden oder</w:t>
      </w:r>
    </w:p>
    <w:p>
      <w:pPr>
        <w:ind w:left="420"/>
      </w:pPr>
      <w:r>
        <w:t xml:space="preserve">4. nach Artikel 22 Abs. 4 des Einigungsvertrages oder § 1a Abs. 4 dieses Gesetzes der Kommune zu übertragen gewesen wären,</w:t>
      </w:r>
    </w:p>
    <w:p>
      <w:r>
        <w:t xml:space="preserve">ist der Vermögenswert dem aus diesen Vorschriften Berechtigten auf Antrag zuzuordnen, wenn die Voraussetzungen der Absätze 2 und 3 vorliegen und der Antrag bis zum Ablauf des 30. Juni 1995 gestellt worden ist. Die Zuordnung erfolgt nach Anhörung des Erwerbers der Anteile durch Zuordnungsbescheid nach den Vorschriften dieses Gesetzes; ergangene Zuordnungsbescheide sind entsprechend zu ändern oder aufzuheben.</w:t>
      </w:r>
    </w:p>
    <w:p>
      <w:r>
        <w:t xml:space="preserve">(2) Eine Zuordnung nach Absatz 1 ist vorzunehmen, wenn im Vertrag über die Privatisierung des Unternehmens ein Vorbehalt aufgenommen wurde, dass der beanspruchte Gegenstand der Restitution, der Kommunalisierung oder der Übertragung an eine Wohnungsgenossenschaft unterliegen soll. Als Vorbehalt ist jede Vertragsklausel anzusehen, die einen Vorbehalt der Rückgabe oder in ähnlicher Form Vorbehalte enthält. Ein Vorbehalt kann sich auch aus den Umständen des Vertragsschlusses ergeben. Die Vorschriften über den Ausschluss der Kommunalisierung nach § 10 Abs. 1 Satz 1 dieses Gesetzes, der Restitution nach § 11 Abs. 1 Satz 2 dieses Gesetzes oder der Zuordnung auf eine Wohnungsgenossenschaft nach § 1 Abs. 5 und 6 des Wohnungsgenossenschafts-Vermögensgesetzes sind in diesem Fall nicht anwendbar.</w:t>
      </w:r>
    </w:p>
    <w:p>
      <w:r>
        <w:t xml:space="preserve">(3) Fehlt ein vertraglicher Vorbehalt im Sinne des Absatzes 2, ist eine Zuordnung nach Absatz 1 vorzunehmen, wenn</w:t>
      </w:r>
    </w:p>
    <w:p>
      <w:pPr>
        <w:ind w:left="420"/>
      </w:pPr>
      <w:r>
        <w:t xml:space="preserve">1. der Vermögenswert bei der Privatisierung des Unternehmens im Vertrag oder in einer zum Gegenstand des Vertrages gemachten Bilanz des Unternehmens nicht, nur mit einem Erinnerungswert oder in Form einer Rückstellung erwähnt worden ist, es sei denn, dass dies aus nicht rückgabebedingten Gründen erfolgt ist, und</w:t>
      </w:r>
    </w:p>
    <w:p>
      <w:pPr>
        <w:ind w:left="420"/>
      </w:pPr>
      <w:r>
        <w:t xml:space="preserve">2. der Vermögenswert noch nicht nach Maßgabe des Vertrages für eine Erweiterung des Unternehmens oder eine andere Maßnahme im Sinne des § 3 des Investitionsvorranggesetzes in Anspruch genommen worden ist.</w:t>
      </w:r>
    </w:p>
    <w:p>
      <w:r>
        <w:t xml:space="preserve">(4) Die vorstehenden Absätze gelten für die Anwendung des Gesetzes über Vermögensfragen der Sozialversicherung im Beitrittsgebiet und § 3 der Bestimmungen zur Abwicklung des Trägers der Sozialversicherung in Anlage I Kapitel VIII Sachgebiet F Abschnitt II Nr. 1 des Einigungsvertrages vom 31. August 1990 (BGBl. 1990 II S. 889, 1042) in Verbindung mit Artikel 1 des Gesetzes vom 23. September 1990 (BGBl. 1990 II S. 885) entsprechend.</w:t>
      </w:r>
    </w:p>
    <w:p>
      <w:r>
        <w:rPr>
          <w:color w:val="555555"/>
          <w:sz w:val="17"/>
        </w:rPr>
        <w:t xml:space="preserve">Zitiervorschlag: § 1c VZOG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https://recht.nulegal.eu/gesetze/VZOG/1c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