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VZOG — Vorschriften für das Sondervermögen Deutsche Bundespost</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Unbeschadet des Vermögensübergangs auf das Sondervermögen im übrigen ist Artikel 27 Abs. 1 Satz 5 mit der Maßgabe anzuwenden, daß die dort genannten Vermögensgegenstände durch Zuordnungsbescheid gemäß § 2 auf das Sondervermögen Deutsche Bundespost oder daraus durch Gesetz gebildete juristische Personen zu übertragen sind. Die Widmung für einen anderen Zweck ist, auch wenn ihr von seiten des Postvermögens oder seiner Rechtsvorgänger zugestimmt wurde, nur beachtlich, wenn der Abgang nicht den Grundsätzen einer unter den Bedingungen der früheren Deutschen Demokratischen Republik ordnungsgemäßen postalischen Wirtschaft widersprochen hat. Die Entscheidung erfolgt nur auf Antrag des Sondervermögens; dieser kann bis zum Ablauf des 30. Juni 1994 gestellt werden. Soweit auf Grund dieser Vorschriften über einen Eigentumsübergang auf das Sondervermögen rechtskräftig entschieden worden ist, bleibt es hierbei.</w:t>
      </w:r>
    </w:p>
    <w:p>
      <w:r>
        <w:t xml:space="preserve">(2) Artikel 27 Abs. 1 Satz 6 des Einigungsvertrages ist nicht mehr anzuwenden. Die Ämter zur Regelung offener Vermögensfragen geben vom Amts wegen bei ihnen durch das Sondervermögen eingereichte Anmeldungen an den für das Land jeweils zuständigen Oberfinanzpräsidenten ab, der sie an die zuständige Stelle weiterleitet. Sie gelten als Antrag nach Absatz 1 Satz 3.</w:t>
      </w:r>
    </w:p>
    <w:p>
      <w:r>
        <w:rPr>
          <w:color w:val="555555"/>
          <w:sz w:val="17"/>
        </w:rPr>
        <w:t xml:space="preserve">Zitiervorschlag: § 19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