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VZOG — Anwendung dieses Gesetzes</w:t>
      </w:r>
    </w:p>
    <w:p>
      <w:r>
        <w:rPr>
          <w:color w:val="555555"/>
          <w:sz w:val="18"/>
        </w:rPr>
        <w:t xml:space="preserve">Vermögenszuordnungsgesetz</w:t>
      </w:r>
    </w:p>
    <w:p>
      <w:r>
        <w:rPr>
          <w:color w:val="555555"/>
          <w:sz w:val="18"/>
        </w:rPr>
        <w:t xml:space="preserve">Stand: 10.06.2019 (konsolidierte Textfassung, kein amtliches Inkrafttretensdatum)</w:t>
      </w:r>
    </w:p>
    <w:p>
      <w:r>
        <w:t xml:space="preserve">Dieses Gesetz gilt für Eigentumsübergänge oder eine Übertragung des Eigentums nach Maßgabe der Artikel 26, 27 und 36 Abs. 1 des Einigungsvertrages und der nachfolgenden Vorschriften entsprechend. Hierbei kann, soweit durch Bundesgesetz nicht ein anderes bestimmt wird, Eigentum auch auf juristische Personen übertragen werden, die aus einem der darin genannten Sondervermögen hervorgegangen sind.</w:t>
      </w:r>
    </w:p>
    <w:p>
      <w:r>
        <w:rPr>
          <w:color w:val="555555"/>
          <w:sz w:val="17"/>
        </w:rPr>
        <w:t xml:space="preserve">Zitiervorschlag: § 17 VZOG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https://recht.nulegal.eu/gesetze/VZOG/17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