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VWGmbHG</w:t>
      </w:r>
    </w:p>
    <w:p>
      <w:r>
        <w:rPr>
          <w:color w:val="555555"/>
          <w:sz w:val="18"/>
        </w:rPr>
        <w:t xml:space="preserve">Gesetz über die Regelung der Rechtsverhältnisse bei der Volkswagenwerk Gesellschaft mit beschränkter Haftung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Geschäftsanteile, die der ehemaligen Treuhandgesellschaft für wirtschaftliche Unternehmungen Gesellschaft mit beschränkter Haftung und der ehemaligen Vermögensverwaltung der Deutschen Arbeitsfront Gesellschaft mit beschränkter Haftung, beide mit dem Sitz in Berlin-Wilmersdorf, an der Volkswagenwerk Gesellschaft mit beschränkter Haftung zugestanden haben, stehen mit Wirkung vom 24. Mai 1949 der Bundesrepublik Deutschland zu.</w:t>
      </w:r>
    </w:p>
    <w:p>
      <w:r>
        <w:rPr>
          <w:color w:val="555555"/>
          <w:sz w:val="17"/>
        </w:rPr>
        <w:t xml:space="preserve">Zitiervorschlag: § 1 VWGmbHG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https://recht.nulegal.eu/gesetze/VWGmbHG/1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