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VWDG — Anlass der Speicherung</w:t>
      </w:r>
    </w:p>
    <w:p>
      <w:r>
        <w:rPr>
          <w:color w:val="555555"/>
          <w:sz w:val="18"/>
        </w:rPr>
        <w:t xml:space="preserve">Visa-Warndateigesetz</w:t>
      </w:r>
    </w:p>
    <w:p>
      <w:r>
        <w:rPr>
          <w:color w:val="555555"/>
          <w:sz w:val="18"/>
        </w:rPr>
        <w:t xml:space="preserve">Stand: 10.06.2019 (konsolidierte Textfassung, kein amtliches Inkrafttretensdatum)</w:t>
      </w:r>
    </w:p>
    <w:p>
      <w:r>
        <w:t xml:space="preserve">(1) Die Speicherung der Warndaten erfolgt bei Personen,</w:t>
      </w:r>
    </w:p>
    <w:p>
      <w:pPr>
        <w:ind w:left="420"/>
      </w:pPr>
      <w:r>
        <w:t xml:space="preserve">1. die wegen einer Straftat nach</w:t>
      </w:r>
    </w:p>
    <w:p>
      <w:pPr>
        <w:ind w:left="780"/>
      </w:pPr>
      <w:r>
        <w:t xml:space="preserve">a) § 95 Absatz 1 Nummer 2 oder Nummer 3, Absatz 1a, § 96 oder § 97 des Aufenthaltsgesetzes,</w:t>
      </w:r>
    </w:p>
    <w:p>
      <w:pPr>
        <w:ind w:left="780"/>
      </w:pPr>
      <w:r>
        <w:t xml:space="preserve">b) § 10 oder § 11 des Schwarzarbeitsbekämpfungsgesetzes,</w:t>
      </w:r>
    </w:p>
    <w:p>
      <w:pPr>
        <w:ind w:left="780"/>
      </w:pPr>
      <w:r>
        <w:t xml:space="preserve">c) den §§ 232 bis 233 oder § 236 Absatz 2 Satz 3 des Strafgesetzbuchs oder</w:t>
      </w:r>
    </w:p>
    <w:p>
      <w:pPr>
        <w:ind w:left="780"/>
      </w:pPr>
      <w:r>
        <w:t xml:space="preserve">d) § 30a Absatz 1 oder Absatz 2 des Betäubungsmittelgesetzes wegen der Ein- oder Ausfuhr von Betäubungsmitteln</w:t>
      </w:r>
    </w:p>
    <w:p>
      <w:pPr>
        <w:ind w:left="420"/>
      </w:pPr>
      <w:r>
        <w:t xml:space="preserve">rechtskräftig zu Geld- oder Freiheitsstrafe verurteilt worden sind,</w:t>
      </w:r>
    </w:p>
    <w:p>
      <w:pPr>
        <w:ind w:left="420"/>
      </w:pPr>
      <w:r>
        <w:t xml:space="preserve">2. die als Visumantragsteller im Visumverfahren ge- oder verfälschte Dokumente vorgelegt, beschafft oder hergestellt oder authentische Dokumente durch falsche Angaben erschlichen haben oder falsche Angaben gemacht haben oder durch Verschweigen erheblicher Tatsachen, zu deren Angabe sie verpflichtet waren, ein Visum erschlichen haben,</w:t>
      </w:r>
    </w:p>
    <w:p>
      <w:pPr>
        <w:ind w:left="420"/>
      </w:pPr>
      <w:r>
        <w:t xml:space="preserve">3. die im eigenen Namen oder für eine Organisation</w:t>
      </w:r>
    </w:p>
    <w:p>
      <w:pPr>
        <w:ind w:left="780"/>
      </w:pPr>
      <w:r>
        <w:t xml:space="preserve">a) eine Einladung des Antragstellers in das Bundesgebiet zur Verwendung im Visumverfahren ausgesprochen haben (Einlader),</w:t>
      </w:r>
    </w:p>
    <w:p>
      <w:pPr>
        <w:ind w:left="780"/>
      </w:pPr>
      <w:r>
        <w:t xml:space="preserve">b) sich nach § 68 Absatz 1 des Aufenthaltsgesetzes oder durch Abgabe einer Erklärung zur Verwendung im Visumverfahren in anderer Weise verpflichtet haben, die Kosten für den Lebensunterhalt des Antragstellers während des Aufenthalts im Bundesgebiet zu tragen oder nach § 66 Absatz 2 des Aufenthaltsgesetzes für die Ausreisekosten des Ausländers aufzukommen (Verpflichtungsgeber),</w:t>
      </w:r>
    </w:p>
    <w:p>
      <w:pPr>
        <w:ind w:left="780"/>
      </w:pPr>
      <w:r>
        <w:t xml:space="preserve">c) den vom Antragsteller angegebenen Zweck des Aufenthalts im Bundesgebiet zur Verwendung im Visumverfahren bestätigt haben (sonstige Referenzperson)</w:t>
      </w:r>
    </w:p>
    <w:p>
      <w:pPr>
        <w:ind w:left="420"/>
      </w:pPr>
      <w:r>
        <w:t xml:space="preserve">und dabei falsche Angaben gemacht haben oder die Verpflichtung, für die Kosten für den Lebensunterhalt eines Ausländers oder für die Kosten der Abschiebung aufzukommen, bei Inanspruchnahme nicht erfüllt haben.</w:t>
      </w:r>
    </w:p>
    <w:p>
      <w:r>
        <w:t xml:space="preserve">Wurden die falschen Angaben im Rahmen einer nach Satz 1 Nummer 3 für eine Organisation abgegebenen Erklärung gemacht, erfolgt die Eintragung von Warndaten auch für die Organisation.</w:t>
      </w:r>
    </w:p>
    <w:p>
      <w:r>
        <w:t xml:space="preserve">(2) Die Speicherung von Warndaten einer Person erfolgt ferner mit deren Einwilligung, wenn unter ihrem Namen unbefugt Erklärungen nach Absatz 1 Satz 1 Nummer 3 abgegeben worden sind oder sie dies befürchtet oder sie eine im Visumverfahren nach Absatz 1 Satz 1 Nummer 3 abgegebene Erklärung widerrufen hat. Die Daten sind unverzüglich zu löschen, wenn die Person die Einwilligung widerruft. Die Sätze 1 und 2 gelten entsprechend für die Speicherung und Löschung von Warndaten einer Organisation.</w:t>
      </w:r>
    </w:p>
    <w:p>
      <w:r>
        <w:rPr>
          <w:color w:val="555555"/>
          <w:sz w:val="17"/>
        </w:rPr>
        <w:t xml:space="preserve">Zitiervorschlag: § 2 VWDG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https://recht.nulegal.eu/gesetze/VWDG/2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