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VWDG — Bestimmungen zum Verwaltungsverfahren</w:t>
      </w:r>
    </w:p>
    <w:p>
      <w:r>
        <w:rPr>
          <w:color w:val="555555"/>
          <w:sz w:val="18"/>
        </w:rPr>
        <w:t xml:space="preserve">Visa-Warndateigesetz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den in diesem Gesetz oder auf Grund dieses Gesetzes getroffenen Regelungen des Verwaltungsverfahrens der Länder kann nicht durch Landesrecht abgewichen werden.</w:t>
      </w:r>
    </w:p>
    <w:p>
      <w:r>
        <w:rPr>
          <w:color w:val="555555"/>
          <w:sz w:val="17"/>
        </w:rPr>
        <w:t xml:space="preserve">Zitiervorschlag: § 16 VWDG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https://recht.nulegal.eu/gesetze/VWDG/16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