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VWDG — Verordnungsermächtigung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Das Bundesministerium des Innern, für Bau und Heimat wird ermächtigt, mit Zustimmung des Bundesrates durch Rechtsverordnung Näheres zu bestimmen</w:t>
      </w:r>
    </w:p>
    <w:p>
      <w:pPr>
        <w:ind w:left="420"/>
      </w:pPr>
      <w:r>
        <w:t xml:space="preserve">1. zu den Daten, die nach § 3 gespeichert werden, und zu den Daten, die nach den §§ 6 und 7 übermittelt werden,</w:t>
      </w:r>
    </w:p>
    <w:p>
      <w:pPr>
        <w:ind w:left="420"/>
      </w:pPr>
      <w:r>
        <w:t xml:space="preserve">2. zu den Voraussetzungen und dem Verfahren zur Übermittlung von Daten an das Bundesverwaltungsamt durch die in den §§ 4 und 5 Absatz 4 bezeichneten öffentlichen Stellen,</w:t>
      </w:r>
    </w:p>
    <w:p>
      <w:pPr>
        <w:ind w:left="420"/>
      </w:pPr>
      <w:r>
        <w:t xml:space="preserve">3. zu den Voraussetzungen und zum Verfahren der Übermittlung von Daten nach den §§ 6 und 7 durch das Bundesverwaltungsamt,</w:t>
      </w:r>
    </w:p>
    <w:p>
      <w:pPr>
        <w:ind w:left="420"/>
      </w:pPr>
      <w:r>
        <w:t xml:space="preserve">4. zum Verfahren nach § 6 Absatz 2,</w:t>
      </w:r>
    </w:p>
    <w:p>
      <w:pPr>
        <w:ind w:left="420"/>
      </w:pPr>
      <w:r>
        <w:t xml:space="preserve">5. zu den Voraussetzungen und zum Verfahren der Datenübermittlung nach den §§ 8 und 9,</w:t>
      </w:r>
    </w:p>
    <w:p>
      <w:pPr>
        <w:ind w:left="420"/>
      </w:pPr>
      <w:r>
        <w:t xml:space="preserve">6. zu den Voraussetzungen und dem Verfahren der Auskunft nach § 12 und der Löschung nach § 13,</w:t>
      </w:r>
    </w:p>
    <w:p>
      <w:pPr>
        <w:ind w:left="420"/>
      </w:pPr>
      <w:r>
        <w:t xml:space="preserve">7. zum Verfahren der Einschränkung der Verarbeitung nach § 14.</w:t>
      </w:r>
    </w:p>
    <w:p>
      <w:r>
        <w:rPr>
          <w:color w:val="555555"/>
          <w:sz w:val="17"/>
        </w:rPr>
        <w:t xml:space="preserve">Zitiervorschlag: § 15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