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VWDG — Einschränkung der Verarbeitung</w:t>
      </w:r>
    </w:p>
    <w:p>
      <w:r>
        <w:rPr>
          <w:color w:val="555555"/>
          <w:sz w:val="18"/>
        </w:rPr>
        <w:t xml:space="preserve">Visa-Warndateigesetz</w:t>
      </w:r>
    </w:p>
    <w:p>
      <w:r>
        <w:rPr>
          <w:color w:val="555555"/>
          <w:sz w:val="18"/>
        </w:rPr>
        <w:t xml:space="preserve">Stand: 02.12.2019 (konsolidierte Textfassung, kein amtliches Inkrafttretensdatum)</w:t>
      </w:r>
    </w:p>
    <w:p>
      <w:r>
        <w:t xml:space="preserve">(1) Ergänzend zu Artikel 18 der Verordnung (EU) 2016/679 tritt an die Stelle der Löschung die Einschränkung der Verarbeitung, wenn Grund zu der Annahme besteht, dass durch die Löschung schutzwürdige Interessen der betroffenen Person oder einer betroffenen Organisation beeinträchtigt würden. Das Bundesverwaltungsamt unterrichtet die betroffene Person über die Einschränkung der Verarbeitung, es sei denn, die Unterrichtung erweist sich als unmöglich oder würde einen unverhältnismäßigen Aufwand erfordern.</w:t>
      </w:r>
    </w:p>
    <w:p>
      <w:r>
        <w:t xml:space="preserve">(2) Daten, die nur eingeschränkt verarbeitet werden, sind mit einem entsprechenden Vermerk zu versehen. Sie dürfen außer zur Prüfung der Richtigkeit ohne Einwilligung der betroffenen Person nicht verarbeitet werden.</w:t>
      </w:r>
    </w:p>
    <w:p>
      <w:r>
        <w:rPr>
          <w:color w:val="555555"/>
          <w:sz w:val="17"/>
        </w:rPr>
        <w:t xml:space="preserve">Zitiervorschlag: § 14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