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VWDG — Protokollierungspflicht bei Datenübermittlung</w:t>
      </w:r>
    </w:p>
    <w:p>
      <w:r>
        <w:rPr>
          <w:color w:val="555555"/>
          <w:sz w:val="18"/>
        </w:rPr>
        <w:t xml:space="preserve">Visa-Warndateigesetz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Bundesverwaltungsamt protokolliert für Zwecke der Datenschutzkontrolle bei jedem Zugriff auf die Datei</w:t>
      </w:r>
    </w:p>
    <w:p>
      <w:pPr>
        <w:ind w:left="420"/>
      </w:pPr>
      <w:r>
        <w:t xml:space="preserve">1. den Zeitpunkt des Zugriffs,</w:t>
      </w:r>
    </w:p>
    <w:p>
      <w:pPr>
        <w:ind w:left="420"/>
      </w:pPr>
      <w:r>
        <w:t xml:space="preserve">2. die Angaben, die die Feststellung der aufgerufenen Datensätze ermöglichen,</w:t>
      </w:r>
    </w:p>
    <w:p>
      <w:pPr>
        <w:ind w:left="420"/>
      </w:pPr>
      <w:r>
        <w:t xml:space="preserve">3. die Datenveränderung,</w:t>
      </w:r>
    </w:p>
    <w:p>
      <w:pPr>
        <w:ind w:left="420"/>
      </w:pPr>
      <w:r>
        <w:t xml:space="preserve">4. die für den Zugriff verantwortliche Dienststelle,</w:t>
      </w:r>
    </w:p>
    <w:p>
      <w:pPr>
        <w:ind w:left="420"/>
      </w:pPr>
      <w:r>
        <w:t xml:space="preserve">5. die für den Zugriff verantwortliche Person sowie</w:t>
      </w:r>
    </w:p>
    <w:p>
      <w:pPr>
        <w:ind w:left="420"/>
      </w:pPr>
      <w:r>
        <w:t xml:space="preserve">6. den Zweck des Zugriffs.</w:t>
      </w:r>
    </w:p>
    <w:p>
      <w:r>
        <w:t xml:space="preserve">(2) Im Fall der Übermittlung nach § 4 oder nach den §§ 6 bis 9 umfasst die Protokollierung auch</w:t>
      </w:r>
    </w:p>
    <w:p>
      <w:pPr>
        <w:ind w:left="420"/>
      </w:pPr>
      <w:r>
        <w:t xml:space="preserve">1. die übermittelten Daten,</w:t>
      </w:r>
    </w:p>
    <w:p>
      <w:pPr>
        <w:ind w:left="420"/>
      </w:pPr>
      <w:r>
        <w:t xml:space="preserve">2. den Zweck der Übermittlung,</w:t>
      </w:r>
    </w:p>
    <w:p>
      <w:pPr>
        <w:ind w:left="420"/>
      </w:pPr>
      <w:r>
        <w:t xml:space="preserve">3. die übermittelnde Stelle und</w:t>
      </w:r>
    </w:p>
    <w:p>
      <w:pPr>
        <w:ind w:left="420"/>
      </w:pPr>
      <w:r>
        <w:t xml:space="preserve">4. die Stelle, an die übermittelt wird.</w:t>
      </w:r>
    </w:p>
    <w:p>
      <w:r>
        <w:t xml:space="preserve">(3) Die Auswertung der Protokolldaten ist nach dem Stand der Technik zu gewährleisten. Die protokollierten Daten dürfen nur verwendet werden</w:t>
      </w:r>
    </w:p>
    <w:p>
      <w:pPr>
        <w:ind w:left="420"/>
      </w:pPr>
      <w:r>
        <w:t xml:space="preserve">1. für Zwecke der Datenschutzkontrolle und der Datensicherung,</w:t>
      </w:r>
    </w:p>
    <w:p>
      <w:pPr>
        <w:ind w:left="420"/>
      </w:pPr>
      <w:r>
        <w:t xml:space="preserve">2. zur Sicherstellung eines ordnungsgemäßen Betriebes der Datenverarbeitungsanlage oder</w:t>
      </w:r>
    </w:p>
    <w:p>
      <w:pPr>
        <w:ind w:left="420"/>
      </w:pPr>
      <w:r>
        <w:t xml:space="preserve">3. zur Erfüllung des Auskunftsanspruchs nach § 12.</w:t>
      </w:r>
    </w:p>
    <w:p>
      <w:r>
        <w:t xml:space="preserve">Sie sind durch geeignete Maßnahmen gegen unberechtigten Zugriff zu sichern.</w:t>
      </w:r>
    </w:p>
    <w:p>
      <w:r>
        <w:t xml:space="preserve">(4) Die Protokolldaten sind nach zwölf Monaten zu löschen, sofern sie nicht für ein bereits eingeleitetes Kontrollverfahren benötigt werden.</w:t>
      </w:r>
    </w:p>
    <w:p>
      <w:r>
        <w:rPr>
          <w:color w:val="555555"/>
          <w:sz w:val="17"/>
        </w:rPr>
        <w:t xml:space="preserve">Zitiervorschlag: § 11 VWDG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https://recht.nulegal.eu/gesetze/VWDG/11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