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VWDG-DV — Speicherung mit Einwilligung einer Person</w:t>
      </w:r>
    </w:p>
    <w:p>
      <w:r>
        <w:rPr>
          <w:color w:val="555555"/>
          <w:sz w:val="18"/>
        </w:rPr>
        <w:t xml:space="preserve">VWDG-Durchführungsverordnung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Speicherung von Daten in der Visa-Warndatei nach § 2 Absatz 2 des Visa-Warndateigesetzes erfolgt auf Antrag der betroffenen Person und mit deren Einwilligung bei einer Stelle nach § 4 Nummer 1 und 2 des Visa-Warndateigesetzes.</w:t>
      </w:r>
    </w:p>
    <w:p>
      <w:r>
        <w:t xml:space="preserve">(2) Das Vorliegen der Voraussetzungen des § 2 Absatz 2 des Visa-Warndateigesetzes wird von den Stellen nach § 4 Nummer 1 und 2 des Visa-Warndateigesetzes festgestellt.</w:t>
      </w:r>
    </w:p>
    <w:p>
      <w:r>
        <w:t xml:space="preserve">(3) Liegen die Voraussetzungen des § 2 Absatz 2 des Visa-Warndateigesetzes vor, ist die Stelle zur Übermittlung der Daten verpflichtet.</w:t>
      </w:r>
    </w:p>
    <w:p>
      <w:r>
        <w:t xml:space="preserve">(4) Auf Antrag der Person wird ein Erläuterungstext gespeichert.</w:t>
      </w:r>
    </w:p>
    <w:p>
      <w:r>
        <w:t xml:space="preserve">(5) Wird die Einwilligung widerrufen oder der Antrag zurückgenommen, sind die in der Visa-Warndatei nach § 2 Absatz 2 des Visa-Warndateigesetzes gespeicherten Daten unverzüglich zu löschen.</w:t>
      </w:r>
    </w:p>
    <w:p>
      <w:r>
        <w:t xml:space="preserve">(6) Die Absätze 1 bis 5 gelten für die freiwillige Speicherung von Daten einer Organisation entsprechend.</w:t>
      </w:r>
    </w:p>
    <w:p>
      <w:r>
        <w:rPr>
          <w:color w:val="555555"/>
          <w:sz w:val="17"/>
        </w:rPr>
        <w:t xml:space="preserve">Zitiervorschlag: § 6 VWDG-DV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https://recht.nulegal.eu/gesetze/VWDG-DV/6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