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VWDG-DV — Visa-Warndateinummer</w:t>
      </w:r>
    </w:p>
    <w:p>
      <w:r>
        <w:rPr>
          <w:color w:val="555555"/>
          <w:sz w:val="18"/>
        </w:rPr>
        <w:t xml:space="preserve">VWDG-Durchführungsverordnung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Bundesverwaltungsamt vergibt die Visa-Warndateinummer als Geschäftszeichen, wenn folgende Daten gespeichert werden:</w:t>
      </w:r>
    </w:p>
    <w:p>
      <w:pPr>
        <w:ind w:left="420"/>
      </w:pPr>
      <w:r>
        <w:t xml:space="preserve">1. Daten einer betroffenen Person, die im eigenen Namen oder für eine Organisation handelt, oder</w:t>
      </w:r>
    </w:p>
    <w:p>
      <w:pPr>
        <w:ind w:left="420"/>
      </w:pPr>
      <w:r>
        <w:t xml:space="preserve">2. Daten einer Organisation im Rahmen der freiwilligen Speicherung.</w:t>
      </w:r>
    </w:p>
    <w:p>
      <w:r>
        <w:t xml:space="preserve">Die Visa-Warndateinummer darf keine Rückschlüsse auf Daten über die betroffene Person oder Organisation zulassen. Sie wird dem Datensatz automatisch zugeordnet.</w:t>
      </w:r>
    </w:p>
    <w:p>
      <w:r>
        <w:t xml:space="preserve">(2) Die Visa-Warndateinummer darf im Rahmen von Datenübermittlungen nach § 8 Absatz 1 Satz 1 des Visa-Warndateigesetzes übermittelt werden. Sie darf darüber hinaus nach Speicherung einer Verurteilung in der Visa-Warndatei an diejenige Staatsanwaltschaft übermittelt werden, die die Daten zur Verurteilung an das Bundesverwaltungsamt übermittelt hat. Die empfangende Stelle darf die Visa-Warndateinummer nur im Verkehr mit dem Bundesverwaltungsamt verwenden; eine Weiterübermittlung an Dritte ist unzulässig.</w:t>
      </w:r>
    </w:p>
    <w:p>
      <w:r>
        <w:t xml:space="preserve">(3) Das Bundesverwaltungsamt stellt sicher, dass bei einer Verwendung der Visa-Warndateinummer für Datenübermittlungen an das Bundesverwaltungsamt oder für Übermittlungsersuchen fehlerhafte Angaben der Visa-Warndateinummer erkannt werden und in diesem Fall keine Verarbeitung der Daten erfolgt.</w:t>
      </w:r>
    </w:p>
    <w:p>
      <w:r>
        <w:rPr>
          <w:color w:val="555555"/>
          <w:sz w:val="17"/>
        </w:rPr>
        <w:t xml:space="preserve">Zitiervorschlag: § 2 VWDG-DV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https://recht.nulegal.eu/gesetze/VWDG-DV/2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