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VWDG-DV — Sperrung von Daten</w:t>
      </w:r>
    </w:p>
    <w:p>
      <w:r>
        <w:rPr>
          <w:color w:val="555555"/>
          <w:sz w:val="18"/>
        </w:rPr>
        <w:t xml:space="preserve">VWDG-Durchführungsverordnung</w:t>
      </w:r>
    </w:p>
    <w:p>
      <w:r>
        <w:rPr>
          <w:color w:val="555555"/>
          <w:sz w:val="18"/>
        </w:rPr>
        <w:t xml:space="preserve">Stand: 10.06.2019 (konsolidierte Textfassung, kein amtliches Inkrafttretensdatum)</w:t>
      </w:r>
    </w:p>
    <w:p>
      <w:r>
        <w:t xml:space="preserve">(1) Die für die Richtigkeit und Aktualität der Daten verantwortlichen Stellen unterrichten das Bundesverwaltungsamt, wenn durch eine Löschung im Sinne des § 13 des Visa-Warndateigesetzes schutzwürdige Interessen einer betroffenen Person oder Organisation nach § 14 Absatz 1 des Visa-Warndateigesetzes beeinträchtigt werden.</w:t>
      </w:r>
    </w:p>
    <w:p>
      <w:r>
        <w:t xml:space="preserve">(2) Das Bestreiten der Richtigkeit gespeicherter Daten nach § 14 Absatz 2 des Visa-Warndateigesetzes hat gegenüber dem Bundesverwaltungsamt schriftlich zu erfolgen. Die betroffene Person oder die für eine betroffene Organisation bevollmächtigte Person soll bei der Ermittlung des Sachverhalts mitwirken. Insbesondere soll sie ihr bekannte Tatsachen und Beweismittel angeben.</w:t>
      </w:r>
    </w:p>
    <w:p>
      <w:r>
        <w:t xml:space="preserve">(3) Lässt sich weder die Richtigkeit noch die Unrichtigkeit der Daten, deren Richtigkeit bestritten wird, zur Überzeugung des Bundesverwaltungsamtes feststellen, wird der Datensatz der betroffenen Person mit Ausnahme der Personalien gesperrt. Die Angaben der betroffenen Person zu ihren Personalien gelten als richtig, soweit sich nicht nachweisen lässt, dass die davon abweichenden gespeicherten Daten richtig sind. Geht ein Übermittlungsersuchen ein, wird außer den Personalien nur der Hinweis auf den Sperrvermerk übermittelt.</w:t>
      </w:r>
    </w:p>
    <w:p>
      <w:r>
        <w:rPr>
          <w:color w:val="555555"/>
          <w:sz w:val="17"/>
        </w:rPr>
        <w:t xml:space="preserve">Zitiervorschlag: § 12 VWDG-DV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https://recht.nulegal.eu/gesetze/VWDG-DV/12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