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VVVGVO (Sachsen) — Abstimmungsleiterinnen und Abstimmungsleiter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der Justiz und für Demokratie, Europa und Gleichstellung macht die Namen</w:t>
      </w:r>
    </w:p>
    <w:p>
      <w:r>
        <w:t xml:space="preserve">1. der Landesabstimmungsleiterin oder des Landesabstimmungsleiters und ihrer oder seiner Stellvertretung,</w:t>
      </w:r>
    </w:p>
    <w:p>
      <w:r>
        <w:t xml:space="preserve">2. der Kreisabstimmungsleiterinnen und Kreisabstimmungsleiter sowie ihrer Stellvertretungen</w:t>
      </w:r>
    </w:p>
    <w:p>
      <w:r>
        <w:t xml:space="preserve">und die Anschriften ihrer Dienststellen mit Telekommunikationsanschlüssen vor jedem Volksentscheid im Sächsischen Amtsblatt öffentlich bekannt.</w:t>
      </w:r>
    </w:p>
    <w:p>
      <w:r>
        <w:rPr>
          <w:color w:val="555555"/>
          <w:sz w:val="17"/>
        </w:rPr>
        <w:t xml:space="preserve">Zitiervorschlag: § 8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