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VVVGVO (Sachsen) — Inkrafttreten, Außerkrafttreten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Verordnung des Sächsischen Staatsministeriums der Justiz zur Durchführung des Gesetzes über Volksantrag, Volksbegehren und Volksentscheid vom 2. Juli 2003 (SächsGVBl. S. 199), die zuletzt durch die Verordnung vom 22. September 2015 (SächsGVBl. S. 527) geändert worden ist, außer Kraft.</w:t>
      </w:r>
    </w:p>
    <w:p>
      <w:r>
        <w:t xml:space="preserve">Dresden, den 30. Dezember 2020</w:t>
      </w:r>
    </w:p>
    <w:p>
      <w:r>
        <w:t xml:space="preserve">Die Staatsministerin der Justiz und für Demokratie, Europa und Gleichstellung</w:t>
      </w:r>
    </w:p>
    <w:p>
      <w:r>
        <w:t xml:space="preserve">Katja Meier</w:t>
      </w:r>
    </w:p>
    <w:p>
      <w:r>
        <w:rPr>
          <w:color w:val="555555"/>
          <w:sz w:val="17"/>
        </w:rPr>
        <w:t xml:space="preserve">Zitiervorschlag: § 79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