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VVVGVO (Sachsen) — Vernichtung der Unterlagen über Volksantrag und Volksbegehren sowie der Abstimmungsunterlagen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Unterlagen über einen Volksantrag sind nach Eintritt der Bestandskraft der Entscheidung der Landtagspräsidentin oder des Landtagspräsidenten gemäß § 10 des Gesetzes über Volksantrag, Volksbegehren und Volksentscheid zu vernichten. Werden die Unterschriftenbogen für einen Volksantrag nicht gemäß § 8 Absatz 1 des Gesetzes über Volksantrag, Volksbegehren und Volksentscheid bei der Landtagspräsidentin oder dem Landtagspräsidenten eingereicht, sind die Unterlagen ein Jahr nach der letzten erteilten Unterschriftenbestätigung zu vernichten.</w:t>
      </w:r>
    </w:p>
    <w:p>
      <w:r>
        <w:t xml:space="preserve">(2) Die Unterlagen über ein Volksbegehren sind nach Eintritt der Bestandskraft der Entscheidung der Landtagspräsidentin oder des Landtagspräsidenten gemäß § 22 des Gesetzes über Volksantrag, Volksbegehren und Volksentscheid zu vernichten. Werden die Unterschriftenbogen für ein Volksbegehren nicht gemäß § 20 des Gesetzes über Volksantrag, Volksbegehren und Volksentscheid bei der Landtagspräsidentin oder dem Landtagspräsidenten eingereicht, sind die Unterlagen acht Monate nach der Veröffentlichung gemäß § 17 des Gesetzes über Volksantrag, Volksbegehren und Volksentscheid zu vernichten.</w:t>
      </w:r>
    </w:p>
    <w:p>
      <w:r>
        <w:t xml:space="preserve">(3) Die bei einem Volksentscheid eingenommenen Stimmbenachrichtigungen sind nach dem Abstimmungstag unverzüglich zu vernichten; dies gilt auch für Abstimmungsbriefumschläge, soweit sie nicht zu verspätet eingegangenen oder zurückgewiesenen Abstimmungsbriefen gehören. Die übrigen Unterlagen über einen Volksentscheid sind vorbehaltlich § 30a Absatz 6 des Gesetzes über Volksantrag, Volksbegehren und Volksentscheid ein Jahr nach Eintritt der Bestandskraft der Entscheidung der Landtagspräsidentin oder des Landtagspräsidenten gemäß § 43 des Gesetzes über Volksantrag, Volksbegehren und Volksentscheid zu vernichten. Die Landesabstimmungsleiterin oder der Landesabstimmungsleiter teilt den übrigen Abstimmungsorganen den Eintritt der Voraussetzung gemäß Satz 2 mit.</w:t>
      </w:r>
    </w:p>
    <w:p>
      <w:r>
        <w:t xml:space="preserve">(4) In den Fällen der Absätze 1 bis 3 sind Unterlagen von der Vernichtung ausgenommen, soweit sie für die Strafverfolgungsbehörde zur Ermittlung einer mit dem Verfahren der Volksgesetzgebung verbundenen Straftat von Bedeutung sein können.</w:t>
      </w:r>
    </w:p>
    <w:p>
      <w:r>
        <w:rPr>
          <w:color w:val="555555"/>
          <w:sz w:val="17"/>
        </w:rPr>
        <w:t xml:space="preserve">Zitiervorschlag: § 78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https://recht.nulegal.eu/gesetze/VVVGVO/78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