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76 VVVGVO (Sachsen) — Sonderregelungen für das sorbische Siedlungsgebiet</w:t>
      </w:r>
    </w:p>
    <w:p>
      <w:r>
        <w:rPr>
          <w:color w:val="555555"/>
          <w:sz w:val="18"/>
        </w:rPr>
        <w:t xml:space="preserve">Verordnung des Sächsischen Staatsministeriums der Justiz und für Demokratie, Europa und Gleichstellung zur Durchführung des Gesetzes über Volksantrag, Volksbegehren und Volksentscheid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 den Gemeinden des sorbischen Siedlungsgebiets kann</w:t>
      </w:r>
    </w:p>
    <w:p>
      <w:r>
        <w:t xml:space="preserve">1. durch die Gemeinde</w:t>
      </w:r>
    </w:p>
    <w:p>
      <w:r>
        <w:t xml:space="preserve">a)</w:t>
      </w:r>
    </w:p>
    <w:p>
      <w:r>
        <w:t xml:space="preserve">die Bekanntmachung über das Recht auf Einsicht in das Stimmberechtigtenverzeichnis und die Erteilung von Stimmscheinen gemäß Anlage 7,</w:t>
      </w:r>
    </w:p>
    <w:p>
      <w:r>
        <w:t xml:space="preserve">b)</w:t>
      </w:r>
    </w:p>
    <w:p>
      <w:r>
        <w:t xml:space="preserve">die Stimmbenachrichtigung gemäß Anlage 5 mit dem Stimmscheinantrag gemäß Anlage 6,</w:t>
      </w:r>
    </w:p>
    <w:p>
      <w:r>
        <w:t xml:space="preserve">c)</w:t>
      </w:r>
    </w:p>
    <w:p>
      <w:r>
        <w:t xml:space="preserve">die Beschriftung des Stimmscheins gemäß Anlage 9,</w:t>
      </w:r>
    </w:p>
    <w:p>
      <w:r>
        <w:t xml:space="preserve">d)</w:t>
      </w:r>
    </w:p>
    <w:p>
      <w:r>
        <w:t xml:space="preserve">die Beschriftung des Abstimmungsumschlags für die Briefabstimmung gemäß Anlage 10 und des Abstimmungsbriefumschlags gemäß Anlage 11,</w:t>
      </w:r>
    </w:p>
    <w:p>
      <w:r>
        <w:t xml:space="preserve">e)</w:t>
      </w:r>
    </w:p>
    <w:p>
      <w:r>
        <w:t xml:space="preserve">die Abstimmungsbekanntmachung gemäß Anlage 13,</w:t>
      </w:r>
    </w:p>
    <w:p>
      <w:r>
        <w:t xml:space="preserve">2. durch den Stimmbezirksvorstand die Kenntlichmachung der Abstimmungslokale</w:t>
      </w:r>
    </w:p>
    <w:p>
      <w:r>
        <w:t xml:space="preserve">zusätzlich auch in sorbischer Sprache erfolgen. Das Merkblatt zur Briefabstimmung gemäß Anlage 12 ist dem Stimmschein in sorbischer Sprache beizufügen, wenn es von der stimmberechtigten Person im Stimmscheinantrag gemäß Anlage 6 in sorbischer Sprache angefordert wird.</w:t>
      </w:r>
    </w:p>
    <w:p>
      <w:r>
        <w:rPr>
          <w:color w:val="555555"/>
          <w:sz w:val="17"/>
        </w:rPr>
        <w:t xml:space="preserve">Zitiervorschlag: § 76 VVVGVO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https://recht.nulegal.eu/gesetze/VVVGVO/76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