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VVVGVO (Sachsen) — Unterstützungsunterschriften und deren Prüfung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§§ 2, 3 und 4 Absatz 1 bis 6 sowie § 5 finden entsprechende Anwendung.</w:t>
      </w:r>
    </w:p>
    <w:p>
      <w:r>
        <w:t xml:space="preserve">(2) Die Unterschriftenbogen sind der für die Bestätigung der Gültigkeit der Unterstützungsunterschrift zuständigen Gemeinde rechtzeitig vor Ablauf der Unterstützungsfrist zuzuleiten.</w:t>
      </w:r>
    </w:p>
    <w:p>
      <w:r>
        <w:rPr>
          <w:color w:val="555555"/>
          <w:sz w:val="17"/>
        </w:rPr>
        <w:t xml:space="preserve">Zitiervorschlag: § 7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