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VVVGVO (Sachsen) — Bekanntgabe der endgültigen Abstimmungsergebnisse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Sobald die Feststellungen abgeschlossen sind, macht die Landesabstimmungsleiterin oder der Landesabstimmungsleiter das endgültige Abstimmungsergebnis für das Abstimmungsgebiet mit den in § 56 Absatz 1 Satz 2 oder 3 bezeichneten Angaben, gegliedert nach Stimmkreisen, sowie die Feststellungen nach § 68 Absatz 2 Satz 3 und 4 öffentlich bekannt.</w:t>
      </w:r>
    </w:p>
    <w:p>
      <w:r>
        <w:t xml:space="preserve">(2) Eine Ausfertigung dieser Bekanntmachung übersendet die Landesabstimmungsleiterin oder der Landesabstimmungsleiter der Landtagspräsidentin oder dem Landtagspräsidenten und dem Staatsministerium der Justiz und für Demokratie, Europa und Gleichstellung.</w:t>
      </w:r>
    </w:p>
    <w:p>
      <w:r>
        <w:rPr>
          <w:color w:val="555555"/>
          <w:sz w:val="17"/>
        </w:rPr>
        <w:t xml:space="preserve">Zitiervorschlag: § 69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