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VVVGVO (Sachsen) — Ordnen und Zusammenstellen der Unterschriftenbogen</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Unterschriftenbogen sind nach Kreisfreien Städten und Landkreisen, innerhalb der Landkreise nach kreisangehörigen Gemeinden zu ordnen und fortlaufend zu nummerieren. Sie sind mit einer Zusammenstellung, in der die laufenden Nummern der Bogen und für jeden Bogen die Zahl der abgegebenen und von der Gemeinde bestätigten Unterstützungsunterschriften einzutragen sind, bei der Landtagspräsidentin oder dem Landtagspräsidenten einzureichen. Die Zahl dieser Unterstützungsunterschriften ist zusammenzuzählen.</w:t>
      </w:r>
    </w:p>
    <w:p>
      <w:r>
        <w:t xml:space="preserve">(2) Bei der Landtagspräsidentin oder dem Landtagspräsidenten eingereichte Unterschriftenbogen werden nicht zurückgegeben.</w:t>
      </w:r>
    </w:p>
    <w:p>
      <w:r>
        <w:rPr>
          <w:color w:val="555555"/>
          <w:sz w:val="17"/>
        </w:rPr>
        <w:t xml:space="preserve">Zitiervorschlag: § 5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