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VVVGVO (Sachsen) — Öffentlichkeit und Ordnung im Abstimmungsraum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Während der Abstimmungshandlung sowie der Ermittlung und Feststellung des Abstimmungsergebnisses besteht für die Öffentlichkeit Zutritt zum Abstimmungsraum, soweit das ohne Störung des Abstimmungsgeschäfts möglich ist.</w:t>
      </w:r>
    </w:p>
    <w:p>
      <w:r>
        <w:t xml:space="preserve">(2) Der Stimmbezirksvorstand sorgt für Ruhe und Ordnung im Abstimmungsraum. Er ordnet bei Andrang den Zutritt zum Abstimmungsraum.</w:t>
      </w:r>
    </w:p>
    <w:p>
      <w:r>
        <w:rPr>
          <w:color w:val="555555"/>
          <w:sz w:val="17"/>
        </w:rPr>
        <w:t xml:space="preserve">Zitiervorschlag: § 46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