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VVVGVO (Sachsen) — Bestätigung durch die Gemeinde</w:t>
      </w:r>
    </w:p>
    <w:p>
      <w:r>
        <w:rPr>
          <w:color w:val="555555"/>
          <w:sz w:val="18"/>
        </w:rPr>
        <w:t xml:space="preserve">Verordnung des Sächsischen Staatsministeriums der Justiz und für Demokratie, Europa und Gleichstellung zur Durchführung des Gesetzes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zur Bestätigung der Gültigkeit der Unterstützungsunterschriften eingereichten Unterschriftenbogen werden von der Gemeinde unverzüglich bearbeitet und an die Absenderinnen und Absender zurückgegeben.</w:t>
      </w:r>
    </w:p>
    <w:p>
      <w:r>
        <w:t xml:space="preserve">(2) Verweigert die Gemeinde die Bestätigung der Gültigkeit einer Unterstützungsunterschrift, begründet sie dies im Unterschriftenbogen durch einen der folgenden Kennbuchstaben:</w:t>
      </w:r>
    </w:p>
    <w:p>
      <w:r>
        <w:t xml:space="preserve">1. nicht stimmberechtigt nach § 2 des Gesetzes über Volksantrag, Volksbegehren und Volksentscheid vom 19. Oktober 1993 (SächsGVBl. S. 949), das zuletzt durch Artikel 1 des Gesetzes vom 15. Juli 2020 (SächsGVBl. S. 374) geändert worden ist, in der jeweils geltenden Fassung (a),</w:t>
      </w:r>
    </w:p>
    <w:p>
      <w:r>
        <w:t xml:space="preserve">2. Unterschriftenbogen entspricht nicht den Anforderungen des § 4 des Gesetzes über Volksantrag, Volksbegehren und Volksentscheid (b),</w:t>
      </w:r>
    </w:p>
    <w:p>
      <w:r>
        <w:t xml:space="preserve">3. keine eigenhändig geleistete Unterschrift und keine Hilfeleistung nach § 5 Absatz 3 des Gesetzes über Volksantrag, Volksbegehren und Volksentscheid (c),</w:t>
      </w:r>
    </w:p>
    <w:p>
      <w:r>
        <w:t xml:space="preserve">4. unzulässige mehrfache Unterstützung (d),</w:t>
      </w:r>
    </w:p>
    <w:p>
      <w:r>
        <w:t xml:space="preserve">5. keine Hauptwohnung in der Gemeinde und keine Erklärung nach § 2 (e),</w:t>
      </w:r>
    </w:p>
    <w:p>
      <w:r>
        <w:t xml:space="preserve">6. unvollständige, unleserliche oder falsche Angaben, die die Feststellung der Stimmberechtigung nicht ermöglichen (f).</w:t>
      </w:r>
    </w:p>
    <w:p>
      <w:r>
        <w:t xml:space="preserve">Außer in den Fällen des Satzes 1 Nummer 5 und 6 vermerkt die Gemeinde zusätzlich in der im Unterschriftenbogen vorgesehenen Spalte, ob die unterzeichnende Person oder im Falle des § 5 Absatz 3 des Gesetzes über Volksantrag, Volksbegehren und Volksentscheid die Person, die die Hilfeleistung in Anspruch nimmt, stimmberechtigt ist.</w:t>
      </w:r>
    </w:p>
    <w:p>
      <w:r>
        <w:t xml:space="preserve">(3) Wird eine den Anforderungen der §§ 4 und 5 des Gesetzes über Volksantrag, Volksbegehren und Volksentscheid genügende Unterstützungsunterschrift vorgelegt, steht einer Bestätigung der Gültigkeit dieser Unterstützungsunterschrift nicht entgegen, dass eine mangelhafte Unterstützungsunterschrift derselben Person nicht anerkannt wurde.</w:t>
      </w:r>
    </w:p>
    <w:p>
      <w:r>
        <w:t xml:space="preserve">(4) Die Gemeinde gibt auf jedem Unterschriftenbogen die Anzahl der gültigen Unterstützungsunterschriften an.</w:t>
      </w:r>
    </w:p>
    <w:p>
      <w:r>
        <w:t xml:space="preserve">(5) Zur Vermeidung unzulässiger mehrfacher Unterstützung verzeichnet die Gemeinde erteilte Bestätigungen von Unterstützungsunterschriften. Hierbei ist das Datum der Erteilung der Bestätigung festzuhalten.</w:t>
      </w:r>
    </w:p>
    <w:p>
      <w:r>
        <w:t xml:space="preserve">(6) Zur Kostenerstattung nach § 15 Absatz 3 des Gesetzes über Volksantrag, Volksbegehren und Volksentscheid hält die Gemeinde die Anzahl der überprüften Unterstützungsunterschriften fest.</w:t>
      </w:r>
    </w:p>
    <w:p>
      <w:r>
        <w:t xml:space="preserve">(7) Die Bestätigung der Unterstützungsunterschrift darf bei der Einreichung des Volksantrages nicht älter als ein Jahr sein.</w:t>
      </w:r>
    </w:p>
    <w:p>
      <w:r>
        <w:rPr>
          <w:color w:val="555555"/>
          <w:sz w:val="17"/>
        </w:rPr>
        <w:t xml:space="preserve">Zitiervorschlag: § 4 VVVGVO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