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VVVGVO (Sachsen) — Abstimmungszeit</w:t>
      </w:r>
    </w:p>
    <w:p>
      <w:r>
        <w:rPr>
          <w:color w:val="555555"/>
          <w:sz w:val="18"/>
        </w:rPr>
        <w:t xml:space="preserve">Verordnung des Sächsischen Staatsministeriums der Justiz und für Demokratie, Europa und Gleichstellung zur Durchführung des Gesetzes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Abstimmung dauert von 8 bis 18 Uhr. Die Briefabstimmung endet abweichend von der allgemeinen Abstimmungszeit um 16 Uhr.</w:t>
      </w:r>
    </w:p>
    <w:p>
      <w:r>
        <w:t xml:space="preserve">(2) Der Stimmbezirksvorstand darf vor Ablauf der Abstimmungszeit seine Tätigkeit auch nach Stimmabgabe aller Stimmberechtigten im Hinblick auf Inhaberinnen und Inhaber von Stimmscheinen nicht unterbrechen.</w:t>
      </w:r>
    </w:p>
    <w:p>
      <w:r>
        <w:rPr>
          <w:color w:val="555555"/>
          <w:sz w:val="17"/>
        </w:rPr>
        <w:t xml:space="preserve">Zitiervorschlag: § 39 VVVGVO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https://recht.nulegal.eu/gesetze/VVVGVO/39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