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VVVGVO (Sachsen) — Zuständige Behörde, Form des Stimmscheines</w:t>
      </w:r>
    </w:p>
    <w:p>
      <w:r>
        <w:rPr>
          <w:color w:val="555555"/>
          <w:sz w:val="18"/>
        </w:rPr>
        <w:t xml:space="preserve">Verordnung des Sächsischen Staatsministeriums der Justiz und für Demokratie, Europa und Gleichstellung zur Durchführung des Gesetzes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Stimmschein wird nach dem Muster der Anlage 9 von der Gemeinde erteilt, in deren Stimmberechtigtenverzeichnis die stimmberechtigte Person eingetragen ist oder hätte eingetragen werden müssen.</w:t>
      </w:r>
    </w:p>
    <w:p>
      <w:r>
        <w:rPr>
          <w:color w:val="555555"/>
          <w:sz w:val="17"/>
        </w:rPr>
        <w:t xml:space="preserve">Zitiervorschlag: § 31 VVVGVO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https://recht.nulegal.eu/gesetze/VVVGVO/31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