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VVVGVO (Sachsen) — Voraussetzungen für die Erteilung von Stimmscheinen</w:t>
      </w:r>
    </w:p>
    <w:p>
      <w:r>
        <w:rPr>
          <w:color w:val="555555"/>
          <w:sz w:val="18"/>
        </w:rPr>
        <w:t xml:space="preserve">Verordnung des Sächsischen Staatsministeriums der Justiz und für Demokratie, Europa und Gleichstellung zur Durchführung des Gesetzes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stimmberechtigte Person, die in das Stimmberechtigtenverzeichnis eingetragen ist, erhält auf Antrag einen Stimmschein,</w:t>
      </w:r>
    </w:p>
    <w:p>
      <w:r>
        <w:t xml:space="preserve">1. wenn sie sich am Abstimmungstag während der allgemeinen Abstimmungszeit aus wichtigem Grund außerhalb ihres Stimmbezirks aufhält,</w:t>
      </w:r>
    </w:p>
    <w:p>
      <w:r>
        <w:t xml:space="preserve">2. wenn sie ihre Wohnung in einem anderen Stimmbezirk anmeldet und nicht in das Stimmberechtigtenverzeichnis des neuen Stimmbezirks eingetragen worden ist,</w:t>
      </w:r>
    </w:p>
    <w:p>
      <w:r>
        <w:t xml:space="preserve">3. wenn sie aus beruflichen Gründen oder infolge Krankheit, hohen Alters, einer körperlichen Beeinträchtigung oder sonst ihres körperlichen Zustandes wegen den Abstimmungsraum nicht oder nur unter nicht zumutbaren Schwierigkeiten aufsuchen kann.</w:t>
      </w:r>
    </w:p>
    <w:p>
      <w:r>
        <w:t xml:space="preserve">(2) Eine stimmberechtigte Person, die nicht in das Stimmberechtigtenverzeichnis eingetragen ist, erhält auf Antrag einen Stimmschein,</w:t>
      </w:r>
    </w:p>
    <w:p>
      <w:r>
        <w:t xml:space="preserve">1. wenn sie nachweist, dass sie ohne Verschulden die Antragsfrist nach § 23 Absatz 1 oder die Einspruchsfrist nach § 27 Absatz 1 versäumt hat,</w:t>
      </w:r>
    </w:p>
    <w:p>
      <w:r>
        <w:t xml:space="preserve">2. wenn ihr Recht auf Teilnahme an der Abstimmung nach Ablauf der Fristen nach § 23 Absatz 1 oder § 27 Absatz 1 entstanden ist,</w:t>
      </w:r>
    </w:p>
    <w:p>
      <w:r>
        <w:t xml:space="preserve">3. wenn ihr Stimmrecht im Einspruchsverfahren festgestellt worden und die Feststellung nach Abschluss des Stimmberechtigtenverzeichnisses zur Kenntnis der Gemeinde gelangt ist.</w:t>
      </w:r>
    </w:p>
    <w:p>
      <w:r>
        <w:rPr>
          <w:color w:val="555555"/>
          <w:sz w:val="17"/>
        </w:rPr>
        <w:t xml:space="preserve">Zitiervorschlag: § 30 VVVGVO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https://recht.nulegal.eu/gesetze/VVVGVO/30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