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VVVGVO (Sachsen) — Zuständigkeit für die Eintragung in das Stimmberechtigtenverzeichnis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 für die Eintragung in das Stimmberechtigtenverzeichnis ist in den Fällen des</w:t>
      </w:r>
    </w:p>
    <w:p>
      <w:r>
        <w:t xml:space="preserve">1. § 19 Absatz 1 Nummer 1 die für die Wohnung zuständige Gemeinde, bei mehreren Wohnungen die für die Hauptwohnung zuständige Gemeinde,</w:t>
      </w:r>
    </w:p>
    <w:p>
      <w:r>
        <w:t xml:space="preserve">2. § 19 Absatz 1 Nummer 2 die für den Heimatort des Binnenschiffes zuständige Gemeinde,</w:t>
      </w:r>
    </w:p>
    <w:p>
      <w:r>
        <w:t xml:space="preserve">3. § 19 Absatz 1 Nummer 3 die für die Justizvollzugsanstalt oder die entsprechende Einrichtung zuständige Gemeinde,</w:t>
      </w:r>
    </w:p>
    <w:p>
      <w:r>
        <w:t xml:space="preserve">4. § 19 Absatz 2 die Gemeinde, in der die stimmberechtigte Person ihren Antrag stellt,</w:t>
      </w:r>
    </w:p>
    <w:p>
      <w:r>
        <w:t xml:space="preserve">5. § 19 Absatz 3 die Gemeinde, in der sich die stimmberechtigte Person für eine Wohnung, bei mehreren Wohnungen für die Hauptwohnung gemeldet hat,</w:t>
      </w:r>
    </w:p>
    <w:p>
      <w:r>
        <w:t xml:space="preserve">6. § 20 Absatz 1 Satz 1 die Zuzugsgemeinde,</w:t>
      </w:r>
    </w:p>
    <w:p>
      <w:r>
        <w:t xml:space="preserve">7. § 20 Absatz 1 Satz 2 die Gemeinde der neuen Hauptwohnung.</w:t>
      </w:r>
    </w:p>
    <w:p>
      <w:r>
        <w:rPr>
          <w:color w:val="555555"/>
          <w:sz w:val="17"/>
        </w:rPr>
        <w:t xml:space="preserve">Zitiervorschlag: § 22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