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VVVG (Sachsen) — Einreichung und Stellungnahme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Volksantrag ist bei der Landtagspräsidentin oder dem Landtagspräsidenten einzureichen.</w:t>
      </w:r>
    </w:p>
    <w:p>
      <w:r>
        <w:t xml:space="preserve">(2) Die Landtagspräsidentin oder der Landtagspräsident holt die Stellungnahme der Staatsregierung zur Zulässigkeit des Volksantrags ein (Artikel 71 Abs. 2 Satz 2 der Verfassung des Freistaates Sachsen); diese hat unverzüglich zu erfolgen.</w:t>
      </w:r>
    </w:p>
    <w:p>
      <w:r>
        <w:rPr>
          <w:color w:val="555555"/>
          <w:sz w:val="17"/>
        </w:rPr>
        <w:t xml:space="preserve">Zitiervorschlag: § 8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