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VVVG (Sachsen) — Verordnungsermächtigung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der Justiz und für Demokratie, Europa und Gleichstellung erlässt durch Rechtsverordnung die zum Vollzug dieses Gesetzes erforderlichen Vorschriften. Es trifft darin insbesondere Vorschriften über</w:t>
      </w:r>
    </w:p>
    <w:p>
      <w:r>
        <w:t xml:space="preserve">1. die Unterschriftenbogen und das Verfahren der Bestätigung der Unterstützungsunterschriften durch die Gemeinde bei Volksantrag und Volksbegehren,</w:t>
      </w:r>
    </w:p>
    <w:p>
      <w:r>
        <w:t xml:space="preserve">2. die Bestellung der Abstimmungsleiterinnen und -leiter sowie Abstimmungsvorsteherinnen und -vorsteher, die Bildung der Abstimmungsausschüsse und -vorstände sowie über die Tätigkeit, Beschlussfähigkeit und das Verfahren der Abstimmungsorgane einschließlich des Ersatzes von Auslagen,</w:t>
      </w:r>
    </w:p>
    <w:p>
      <w:r>
        <w:t xml:space="preserve">3. die Abstimmungszeit,</w:t>
      </w:r>
    </w:p>
    <w:p>
      <w:r>
        <w:t xml:space="preserve">4. die Bildung der Stimmbezirke und ihre Bekanntmachung,</w:t>
      </w:r>
    </w:p>
    <w:p>
      <w:r>
        <w:t xml:space="preserve">5. die einzelnen Voraussetzungen für die Aufnahme in die Stimmberechtigtenverzeichnisse, deren Führung, Einsichtnahme, Berichtigung und Abschluss, über den Einspruch und die Beschwerde gegen das Stimmberechtigtenverzeichnis sowie über die Benachrichtigung der Stimmberechtigten,</w:t>
      </w:r>
    </w:p>
    <w:p>
      <w:r>
        <w:t xml:space="preserve">6. die einzelnen Voraussetzungen für die Erteilung von Stimmscheinen, deren Ausstellung, über den Einspruch und die Beschwerde gegen die Ablehnung der Erteilung von Stimmscheinen,</w:t>
      </w:r>
    </w:p>
    <w:p>
      <w:r>
        <w:t xml:space="preserve">7. den Nachweis der Abstimmungsvoraussetzungen,</w:t>
      </w:r>
    </w:p>
    <w:p>
      <w:r>
        <w:t xml:space="preserve">8. Form und Inhalt des Stimmzettels,</w:t>
      </w:r>
    </w:p>
    <w:p>
      <w:r>
        <w:t xml:space="preserve">9. Bereitstellung, Einrichtung und Bekanntmachung der Abstimmungsräume sowie über Abstimmungsschutzvorrichtungen und Stimmzellen,</w:t>
      </w:r>
    </w:p>
    <w:p>
      <w:r>
        <w:t xml:space="preserve">10. die Stimmabgabe, auch soweit besondere Verhältnisse besondere Regelungen erfordern,</w:t>
      </w:r>
    </w:p>
    <w:p>
      <w:r>
        <w:t xml:space="preserve">11. die Abstimmung in Krankenhäusern, Alten-, Erholungs- und Pflegeheimen, Klöstern, sozialtherapeutischen Anstalten und Justizvollzugsanstalten,</w:t>
      </w:r>
    </w:p>
    <w:p>
      <w:r>
        <w:t xml:space="preserve">12. die Briefabstimmung,</w:t>
      </w:r>
    </w:p>
    <w:p>
      <w:r>
        <w:t xml:space="preserve">13. die Feststellung der Abstimmungsergebnisse, ihre Weitermeldung und Bekanntgabe,</w:t>
      </w:r>
    </w:p>
    <w:p>
      <w:r>
        <w:t xml:space="preserve">14. die Durchführung von Nachabstimmungen und über die Wiederholung des Volksentscheids,</w:t>
      </w:r>
    </w:p>
    <w:p>
      <w:r>
        <w:t xml:space="preserve">15. die Erstattung der Abstimmungskosten an die Gemeinden und Landkreise nach § 48 Abs. 2,</w:t>
      </w:r>
    </w:p>
    <w:p>
      <w:r>
        <w:t xml:space="preserve">16. das Bußgeldverfahren.</w:t>
      </w:r>
    </w:p>
    <w:p>
      <w:r>
        <w:rPr>
          <w:color w:val="555555"/>
          <w:sz w:val="17"/>
        </w:rPr>
        <w:t xml:space="preserve">Zitiervorschlag: § 52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https://recht.nulegal.eu/gesetze/VVVG/52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