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VVVG (Sachsen) — Verfassungsänderung auf Initiative des Volkes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Durchführung des Volksantrags, des Volksbegehrens und des Volksentscheids mit dem Ziel einer Verfassungsänderung finden §§ 2 bis 41 und §§ 43 bis 48 entsprechende Anwendung.</w:t>
      </w:r>
    </w:p>
    <w:p>
      <w:r>
        <w:t xml:space="preserve">(2) Das verfassungsändernde Gesetz ist beschlossen, wenn die Mehrheit der Stimmberechtigten zustimmt. § 42 Abs. 2 findet entsprechende Anwendung.</w:t>
      </w:r>
    </w:p>
    <w:p>
      <w:r>
        <w:rPr>
          <w:color w:val="555555"/>
          <w:sz w:val="17"/>
        </w:rPr>
        <w:t xml:space="preserve">Zitiervorschlag: § 50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https://recht.nulegal.eu/gesetze/VVVG/50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