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VVVG (Sachsen) — Beschwerde zum Verfassungsgerichtshof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 Entscheidungen der Landtagspräsidentin oder des Landtagspräsidenten gemäß § 43 kann innerhalb eines Monats nach Zugang beim Verfassungsgerichtshof des Freistaates Sachsen Beschwerde erhoben werden.</w:t>
      </w:r>
    </w:p>
    <w:p>
      <w:r>
        <w:t xml:space="preserve">(2) Beschwerdebefugt sind</w:t>
      </w:r>
    </w:p>
    <w:p>
      <w:r>
        <w:t xml:space="preserve">1. die Vertrauensperson und die stellvertretende Vertrauensperson des dem Volksentscheid zugrunde liegenden Volksbegehrens,</w:t>
      </w:r>
    </w:p>
    <w:p>
      <w:r>
        <w:t xml:space="preserve">2. eine Fraktion,</w:t>
      </w:r>
    </w:p>
    <w:p>
      <w:r>
        <w:t xml:space="preserve">3. eine Gruppe von mindestens einem Viertel der Mitglieder des Landtags,</w:t>
      </w:r>
    </w:p>
    <w:p>
      <w:r>
        <w:t xml:space="preserve">4. die Staatsregierung.</w:t>
      </w:r>
    </w:p>
    <w:p>
      <w:r>
        <w:t xml:space="preserve">(3) Kommt der Verfassungsgerichtshof zu der Überzeugung, dass der Volksentscheid gemäß § 43 Abs. 2 für ungültig zu erklären ist, erklärt er zugleich das gemäß § 42 angenommene Gesetz für unwirksam.</w:t>
      </w:r>
    </w:p>
    <w:p>
      <w:r>
        <w:t xml:space="preserve">(4) Die Entscheidungsformel des Verfassungsgerichtshofes wird von der Landtagspräsidentin oder dem Landtagspräsidenten im Gesetz- und Verordnungsblatt des Freistaates Sachsen bekannt gemacht.</w:t>
      </w:r>
    </w:p>
    <w:p>
      <w:r>
        <w:rPr>
          <w:color w:val="555555"/>
          <w:sz w:val="17"/>
        </w:rPr>
        <w:t xml:space="preserve">Zitiervorschlag: § 44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