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VVVG (Sachsen) — Unterschriftenbogen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Unterschriften zum Volksantrag sind auf Unterschriftenbogen nach amtlichem Muster abzugeben.</w:t>
      </w:r>
    </w:p>
    <w:p>
      <w:r>
        <w:t xml:space="preserve">(2) Jeder Unterschriftenbogen muss den Volksantrag mit dem zugrunde liegenden Gesetzentwurf einschließlich Begründung enthalten.</w:t>
      </w:r>
    </w:p>
    <w:p>
      <w:r>
        <w:t xml:space="preserve">(3) Die Beschaffung der Unterschriftenbogen obliegt den Antragstellerinnen und Antragstellern.</w:t>
      </w:r>
    </w:p>
    <w:p>
      <w:r>
        <w:rPr>
          <w:color w:val="555555"/>
          <w:sz w:val="17"/>
        </w:rPr>
        <w:t xml:space="preserve">Zitiervorschlag: § 4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