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VVVG (Sachsen) — Unzulässige Beeinflussung der Abstimmung</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Während der Abstimmungszeit sind in und an dem Gebäude, in dem sich der Abstimmungsraum befindet, sowie unmittelbar vor dem Zugang zu dem Gebäude jede Beeinflussung der Abstimmenden durch Wort, Ton, Schrift oder Bild sowie jede Unterschriftensammlung verboten.</w:t>
      </w:r>
    </w:p>
    <w:p>
      <w:r>
        <w:t xml:space="preserve">(2) Die Veröffentlichung der Ergebnisse von Befragungen der Abstimmenden nach der Stimmabgabe über den Inhalt der Abstimmungsentscheidung ist vor Ablauf der Abstimmungszeit unzulässig.</w:t>
      </w:r>
    </w:p>
    <w:p>
      <w:r>
        <w:rPr>
          <w:color w:val="555555"/>
          <w:sz w:val="17"/>
        </w:rPr>
        <w:t xml:space="preserve">Zitiervorschlag: § 35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