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VVVG (Sachsen) — Gliederung des Abstimmungsgebiets</w:t>
      </w:r>
    </w:p>
    <w:p>
      <w:r>
        <w:rPr>
          <w:color w:val="555555"/>
          <w:sz w:val="18"/>
        </w:rPr>
        <w:t xml:space="preserve">Gesetz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Abstimmungsgebiet ist der Freistaat Sachsen. Es gliedert sich in Stimmkreise und Stimmbezirke.</w:t>
      </w:r>
    </w:p>
    <w:p>
      <w:r>
        <w:t xml:space="preserve">(2) Stimmkreise sind die Kreisfreien Städte und Landkreise.</w:t>
      </w:r>
    </w:p>
    <w:p>
      <w:r>
        <w:t xml:space="preserve">(3) Jede Gemeinde bildet in der Regel mindestens einen Stimmbezirk; in größeren Gemeinden sind mehrere Stimmbezirke zu bilden.</w:t>
      </w:r>
    </w:p>
    <w:p>
      <w:r>
        <w:t xml:space="preserve">(4) Die Kreisabstimmungsleiterin oder der Kreisabstimmungsleiter kann für kleine Gemeinden einen gemeinsamen Stimmbezirk bilden.</w:t>
      </w:r>
    </w:p>
    <w:p>
      <w:r>
        <w:rPr>
          <w:color w:val="555555"/>
          <w:sz w:val="17"/>
        </w:rPr>
        <w:t xml:space="preserve">Zitiervorschlag: § 29 VVVG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https://recht.nulegal.eu/gesetze/VVVG/29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