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VVVG (Sachsen) — Bekanntmachung von Tag und Gegenstand des Volksentscheids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Landtagspräsidentin oder der Landtagspräsident macht den festgesetzten Abstimmungstag und den Gegenstand des Volksentscheids unverzüglich im Sächsischen Amtsblatt bekannt.</w:t>
      </w:r>
    </w:p>
    <w:p>
      <w:r>
        <w:t xml:space="preserve">(2) Die Bekanntmachung des Gegenstands hat zu enthalten:</w:t>
      </w:r>
    </w:p>
    <w:p>
      <w:r>
        <w:t xml:space="preserve">1. den Text des Gesetzentwurfs einschließlich Begründung,</w:t>
      </w:r>
    </w:p>
    <w:p>
      <w:r>
        <w:t xml:space="preserve">2. für den Fall, dass der Landtag von der Möglichkeit des Artikels 72 Abs. 2 Satz 3 der Verfassung des Freistaates Sachsen Gebrauch macht, den Text des beigefügten Gesetzentwurfs einschließlich Begründung,</w:t>
      </w:r>
    </w:p>
    <w:p>
      <w:r>
        <w:t xml:space="preserve">3. den Inhalt des Stimmzettels.</w:t>
      </w:r>
    </w:p>
    <w:p>
      <w:r>
        <w:rPr>
          <w:color w:val="555555"/>
          <w:sz w:val="17"/>
        </w:rPr>
        <w:t xml:space="preserve">Zitiervorschlag: § 27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