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VVVG (Sachsen) — Kosten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Kosten des Volksbegehrens trägt der Freistaat Sachsen.</w:t>
      </w:r>
    </w:p>
    <w:p>
      <w:r>
        <w:t xml:space="preserve">(2) § 15 Abs. 3 findet entsprechende Anwendung.</w:t>
      </w:r>
    </w:p>
    <w:p>
      <w:r>
        <w:t xml:space="preserve">(3) Die nach § 24 erforderlichen Mittel sind im Haushaltsplan des Freistaates Sachsen, Einzelplan „Landtag“, auszubringen.</w:t>
      </w:r>
    </w:p>
    <w:p>
      <w:r>
        <w:rPr>
          <w:color w:val="555555"/>
          <w:sz w:val="17"/>
        </w:rPr>
        <w:t xml:space="preserve">Zitiervorschlag: § 25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https://recht.nulegal.eu/gesetze/VVVG/25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