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VVVG (Sachsen) — Unterschriftenbogen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Unterschriften zum Volksbegehren sind auf Unterschriftenbogen nach amtlichem Muster abzugeben.</w:t>
      </w:r>
    </w:p>
    <w:p>
      <w:r>
        <w:t xml:space="preserve">(2) Jeder Unterschriftenbogen hat folgende Angaben zu enthalten:</w:t>
      </w:r>
    </w:p>
    <w:p>
      <w:r>
        <w:t xml:space="preserve">1. den Wortlaut des Volksbegehrens mit dem zugrunde liegenden Gesetzentwurf einschließlich Begründung und das Datum der Veröffentlichung im Sächsischen Amtsblatt,</w:t>
      </w:r>
    </w:p>
    <w:p>
      <w:r>
        <w:t xml:space="preserve">2. die Namen und Anschriften der Vertrauensperson und der stellvertretenden Vertrauensperson.</w:t>
      </w:r>
    </w:p>
    <w:p>
      <w:r>
        <w:t xml:space="preserve">(3) Die Beschaffung der Unterschriftenbogen obliegt den Antragstellerinnen und Antragstellern.</w:t>
      </w:r>
    </w:p>
    <w:p>
      <w:r>
        <w:rPr>
          <w:color w:val="555555"/>
          <w:sz w:val="17"/>
        </w:rPr>
        <w:t xml:space="preserve">Zitiervorschlag: § 18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