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VVVG (Sachsen) — Behandlung im Landtag</w:t>
      </w:r>
    </w:p>
    <w:p>
      <w:r>
        <w:rPr>
          <w:color w:val="555555"/>
          <w:sz w:val="18"/>
        </w:rPr>
        <w:t xml:space="preserve">Gesetz über Volksantrag, Volksbegehren und Volksentscheid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Landtag entscheidet über den Volksantrag nach den Bestimmungen seiner Geschäftsordnung. Er gibt den Antragstellerinnen und Antragstellern Gelegenheit zur Anhörung sowie im Falle von § 3a allen betroffenen Parteien Gelegenheit zur Stellungnahme.</w:t>
      </w:r>
    </w:p>
    <w:p>
      <w:r>
        <w:rPr>
          <w:color w:val="555555"/>
          <w:sz w:val="17"/>
        </w:rPr>
        <w:t xml:space="preserve">Zitiervorschlag: § 14 VVVG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https://recht.nulegal.eu/gesetze/VVVG/14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