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VVVG (Sachsen) — Entscheidung des Verfassungsgerichtshofs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Gelangt der Verfassungsgerichtshof zu der Überzeugung, dass der Volksantrag den formellen Voraussetzungen genügt, stellt er das Vorliegen der formellen Voraussetzungen fest. Absatz 2 bleibt unberührt. Gelangt er zu der Überzeugung, dass die formellen Voraussetzungen des Volksantrages nicht erfüllt sind, stellt er fest, dass ein den formellen Voraussetzungen genügender Volksantrag nicht vorliegt.</w:t>
      </w:r>
    </w:p>
    <w:p>
      <w:r>
        <w:t xml:space="preserve">(2) Gelangt der Verfassungsgerichtshof zu der Überzeugung, dass der Volksantrag aus anderen Gründen ganz oder teilweise verfassungswidrig ist, so erklärt er diesen für unzulässig.</w:t>
      </w:r>
    </w:p>
    <w:p>
      <w:r>
        <w:t xml:space="preserve">(3) Die Entscheidungsformel wird von der Landtagspräsidentin oder dem Landtagspräsidenten im Sächsischen Amtsblatt bekannt gemacht.</w:t>
      </w:r>
    </w:p>
    <w:p>
      <w:r>
        <w:rPr>
          <w:color w:val="555555"/>
          <w:sz w:val="17"/>
        </w:rPr>
        <w:t xml:space="preserve">Zitiervorschlag: § 12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