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VVVBbg (Brandenburg) — Sicherung der Unterlagen</w:t>
      </w:r>
    </w:p>
    <w:p>
      <w:r>
        <w:rPr>
          <w:color w:val="555555"/>
          <w:sz w:val="18"/>
        </w:rPr>
        <w:t xml:space="preserve">Volksbegehrensverfahrensverordnung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Unterlagen über das Volksbegehren einschließlich der Niederschriften nach § 17 Abs. 3 sind so zu verwahren, daß sie gegen Einsichtnahme durch unbefugte Personen geschützt sind.</w:t>
      </w:r>
    </w:p>
    <w:p>
      <w:r>
        <w:t xml:space="preserve">(2) Auskünfte aus den Unterlagen nach Absatz 1 dürfen nur Behörden, Gerichten und sonstigen amtlichen Stellen und nur dann erteilt werden, wenn dem Auskunftsersuchen ein berechtigtes Interesse im Zusammenhang mit dem Volksbegehren zugrunde liegt.</w:t>
      </w:r>
    </w:p>
    <w:p>
      <w:r>
        <w:rPr>
          <w:color w:val="555555"/>
          <w:sz w:val="17"/>
        </w:rPr>
        <w:t xml:space="preserve">Zitiervorschlag: § 16 VVVBbg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https://recht.nulegal.eu/gesetze/VVVBbg/16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