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VVVBbg (Brandenburg) — Ungültige Eintragungen</w:t>
      </w:r>
    </w:p>
    <w:p>
      <w:r>
        <w:rPr>
          <w:color w:val="555555"/>
          <w:sz w:val="18"/>
        </w:rPr>
        <w:t xml:space="preserve">Volksbegehrensverfahrensverordnung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Gültigkeit der Eintragungen bestimmt sich nach § 19 des Volksabstimmungsgesetzes.</w:t>
      </w:r>
    </w:p>
    <w:p>
      <w:r>
        <w:t xml:space="preserve">(2) Eintragungen, die einen Zusatz enthalten, sind ungültig, wenn</w:t>
      </w:r>
    </w:p>
    <w:p>
      <w:r>
        <w:t xml:space="preserve">durch den Zusatz der Wille der eintragungsberechtigten Person, das Volksbegehren zu unterstützen, zweifelhaft erscheint,</w:t>
      </w:r>
    </w:p>
    <w:p>
      <w:r>
        <w:t xml:space="preserve">die eintragungsberechtigte Person ihre Eintragung mit einem nicht zulässigen Zusatz versieht.</w:t>
      </w:r>
    </w:p>
    <w:p>
      <w:r>
        <w:rPr>
          <w:color w:val="555555"/>
          <w:sz w:val="17"/>
        </w:rPr>
        <w:t xml:space="preserve">Zitiervorschlag: § 11 VVVBbg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https://recht.nulegal.eu/gesetze/VVVBbg/11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