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VVGEG — Übergangsvorschrift zu § 7a Absatz 5 des Versicherungsvertragsgesetzes</w:t>
      </w:r>
    </w:p>
    <w:p>
      <w:r>
        <w:rPr>
          <w:color w:val="555555"/>
          <w:sz w:val="18"/>
        </w:rPr>
        <w:t xml:space="preserve">Einführungsgesetz zum Versicherungsvertragsgesetz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7a Absatz 5 des Versicherungsvertragsgesetzes in der ab dem 1. Januar 2025 geltenden Fassung ist nur auf Restschuldversicherungen anzuwenden, die sich auf einen Allgemein-Verbraucherdarlehensvertrag beziehen, der nach dem 1. Januar 2025 abgeschlossen wurde.</w:t>
      </w:r>
    </w:p>
    <w:p>
      <w:r>
        <w:rPr>
          <w:color w:val="555555"/>
          <w:sz w:val="17"/>
        </w:rPr>
        <w:t xml:space="preserve">Zitiervorschlag: Art 9 VVGEG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https://recht.nulegal.eu/gesetze/VVGEG/9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