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Art 4 VVGEG — Lebensversicherung, Berufsunfähigkeitsversicherung</w:t>
      </w:r>
    </w:p>
    <w:p>
      <w:r>
        <w:rPr>
          <w:color w:val="555555"/>
          <w:sz w:val="18"/>
        </w:rPr>
        <w:t xml:space="preserve">Einführungsgesetz zum Versicherungsvertragsgesetz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§ 153 des Versicherungsvertragsgesetzes ist auf Altverträge nicht anzuwenden, wenn eine Überschussbeteiligung nicht vereinbart worden ist. Ist eine Überschussbeteiligung vereinbart, ist § 153 des Versicherungsvertragsgesetzes ab dem 1. Januar 2008 auf Altverträge anzuwenden; vereinbarte Verteilungsgrundsätze gelten als angemessen.</w:t>
      </w:r>
    </w:p>
    <w:p>
      <w:r>
        <w:t xml:space="preserve">(2) Auf Altverträge ist anstatt des § 169 des Versicherungsvertragsgesetzes, auch soweit auf ihn verwiesen wird, § 176 des Gesetzes über den Versicherungsvertrag in der bis zum 31. Dezember 2007 geltenden Fassung weiter anzuwenden.</w:t>
      </w:r>
    </w:p>
    <w:p>
      <w:r>
        <w:t xml:space="preserve">(3) Auf Altverträge über eine Berufsunfähigkeitsversicherung sind die §§ 172, 174 bis 177 des Versicherungsvertragsgesetzes nicht anzuwenden.</w:t>
      </w:r>
    </w:p>
    <w:p>
      <w:r>
        <w:rPr>
          <w:color w:val="555555"/>
          <w:sz w:val="17"/>
        </w:rPr>
        <w:t xml:space="preserve">Zitiervorschlag: Art 4 VVGEG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Dieses Dokument: https://recht.nulegal.eu/gesetze/VVGEG/4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